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61" w:rsidRPr="00AB0246" w:rsidRDefault="000B2F61" w:rsidP="00AB02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5277467"/>
      <w:r w:rsidRPr="00AB0246">
        <w:rPr>
          <w:rFonts w:ascii="Times New Roman" w:eastAsia="Calibri" w:hAnsi="Times New Roman" w:cs="Times New Roman"/>
          <w:b/>
          <w:sz w:val="24"/>
          <w:szCs w:val="24"/>
        </w:rPr>
        <w:t>Sveučilište u Rijeci</w:t>
      </w:r>
    </w:p>
    <w:p w:rsidR="000B2F61" w:rsidRDefault="000B2F61" w:rsidP="000B2F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Pomorski </w:t>
      </w:r>
      <w:r w:rsidR="00666AC9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1A5B94">
        <w:rPr>
          <w:rFonts w:ascii="Times New Roman" w:eastAsia="Calibri" w:hAnsi="Times New Roman" w:cs="Times New Roman"/>
          <w:b/>
          <w:sz w:val="24"/>
          <w:szCs w:val="24"/>
        </w:rPr>
        <w:t xml:space="preserve">akultet </w:t>
      </w:r>
    </w:p>
    <w:p w:rsidR="00E03F40" w:rsidRDefault="00E03F40" w:rsidP="000B2F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Studentska ulica 2</w:t>
      </w:r>
    </w:p>
    <w:p w:rsidR="00E03F40" w:rsidRPr="001A5B94" w:rsidRDefault="00E03F40" w:rsidP="000B2F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Rijeka</w:t>
      </w:r>
    </w:p>
    <w:p w:rsidR="000B2F61" w:rsidRDefault="000B2F61" w:rsidP="000B2F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B94">
        <w:rPr>
          <w:rFonts w:ascii="Times New Roman" w:eastAsia="Calibri" w:hAnsi="Times New Roman" w:cs="Times New Roman"/>
          <w:b/>
          <w:sz w:val="24"/>
          <w:szCs w:val="24"/>
        </w:rPr>
        <w:t>OIB 76722145702</w:t>
      </w:r>
    </w:p>
    <w:p w:rsidR="00666AC9" w:rsidRPr="001A5B94" w:rsidRDefault="00666AC9" w:rsidP="000B2F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RKP</w:t>
      </w:r>
      <w:r w:rsidR="00E03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22568</w:t>
      </w:r>
    </w:p>
    <w:bookmarkEnd w:id="0"/>
    <w:p w:rsidR="000B2F61" w:rsidRPr="001A5B94" w:rsidRDefault="000B2F61" w:rsidP="000B2F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F40" w:rsidRDefault="00E03F40" w:rsidP="000B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2F61" w:rsidRPr="001A5B94" w:rsidRDefault="000B2F61" w:rsidP="000B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5B94">
        <w:rPr>
          <w:rFonts w:ascii="Times New Roman" w:eastAsia="Calibri" w:hAnsi="Times New Roman" w:cs="Times New Roman"/>
          <w:b/>
          <w:sz w:val="32"/>
          <w:szCs w:val="32"/>
        </w:rPr>
        <w:t xml:space="preserve">Obrazloženje </w:t>
      </w:r>
      <w:r w:rsidR="00F138F6">
        <w:rPr>
          <w:rFonts w:ascii="Times New Roman" w:eastAsia="Calibri" w:hAnsi="Times New Roman" w:cs="Times New Roman"/>
          <w:b/>
          <w:sz w:val="32"/>
          <w:szCs w:val="32"/>
        </w:rPr>
        <w:t xml:space="preserve">izvršenja </w:t>
      </w:r>
      <w:r w:rsidR="00666AC9">
        <w:rPr>
          <w:rFonts w:ascii="Times New Roman" w:eastAsia="Calibri" w:hAnsi="Times New Roman" w:cs="Times New Roman"/>
          <w:b/>
          <w:sz w:val="32"/>
          <w:szCs w:val="32"/>
        </w:rPr>
        <w:t>Posebnog dijela</w:t>
      </w:r>
      <w:bookmarkStart w:id="1" w:name="_Hlk115277485"/>
      <w:r w:rsidR="0025736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96F68">
        <w:rPr>
          <w:rFonts w:ascii="Times New Roman" w:eastAsia="Calibri" w:hAnsi="Times New Roman" w:cs="Times New Roman"/>
          <w:b/>
          <w:sz w:val="32"/>
          <w:szCs w:val="32"/>
        </w:rPr>
        <w:t>f</w:t>
      </w:r>
      <w:r w:rsidRPr="001A5B94">
        <w:rPr>
          <w:rFonts w:ascii="Times New Roman" w:eastAsia="Calibri" w:hAnsi="Times New Roman" w:cs="Times New Roman"/>
          <w:b/>
          <w:sz w:val="32"/>
          <w:szCs w:val="32"/>
        </w:rPr>
        <w:t>inancijskog plana za 202</w:t>
      </w:r>
      <w:r w:rsidR="00C16900" w:rsidRPr="001A5B94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1A5B94">
        <w:rPr>
          <w:rFonts w:ascii="Times New Roman" w:eastAsia="Calibri" w:hAnsi="Times New Roman" w:cs="Times New Roman"/>
          <w:b/>
          <w:sz w:val="32"/>
          <w:szCs w:val="32"/>
        </w:rPr>
        <w:t>. godin</w:t>
      </w:r>
      <w:r w:rsidR="0025736E">
        <w:rPr>
          <w:rFonts w:ascii="Times New Roman" w:eastAsia="Calibri" w:hAnsi="Times New Roman" w:cs="Times New Roman"/>
          <w:b/>
          <w:sz w:val="32"/>
          <w:szCs w:val="32"/>
        </w:rPr>
        <w:t>u</w:t>
      </w:r>
    </w:p>
    <w:bookmarkEnd w:id="1"/>
    <w:p w:rsidR="00EF05CF" w:rsidRPr="001A5B94" w:rsidRDefault="00EF05CF">
      <w:pPr>
        <w:rPr>
          <w:rFonts w:ascii="Times New Roman" w:hAnsi="Times New Roman" w:cs="Times New Roman"/>
          <w:sz w:val="24"/>
          <w:szCs w:val="24"/>
        </w:rPr>
      </w:pPr>
    </w:p>
    <w:p w:rsidR="00F815A6" w:rsidRPr="001A5B94" w:rsidRDefault="003C3F23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3745816"/>
      <w:r w:rsidRPr="001A5B94">
        <w:rPr>
          <w:rFonts w:ascii="Times New Roman" w:hAnsi="Times New Roman" w:cs="Times New Roman"/>
          <w:b/>
          <w:sz w:val="28"/>
          <w:szCs w:val="28"/>
        </w:rPr>
        <w:t>A621002 Redovna djelatnost Sveučilišta u Rijeci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251"/>
        <w:gridCol w:w="1251"/>
        <w:gridCol w:w="1251"/>
        <w:gridCol w:w="1250"/>
        <w:gridCol w:w="1251"/>
        <w:gridCol w:w="1165"/>
      </w:tblGrid>
      <w:tr w:rsidR="00784427" w:rsidRPr="001A5B94" w:rsidTr="00C45954">
        <w:tc>
          <w:tcPr>
            <w:tcW w:w="1643" w:type="dxa"/>
            <w:shd w:val="clear" w:color="auto" w:fill="D0CECE" w:themeFill="background2" w:themeFillShade="E6"/>
          </w:tcPr>
          <w:p w:rsidR="00F815A6" w:rsidRPr="001A5B94" w:rsidRDefault="00F815A6" w:rsidP="0033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3745889"/>
            <w:bookmarkEnd w:id="2"/>
          </w:p>
          <w:p w:rsidR="00F815A6" w:rsidRPr="001A5B94" w:rsidRDefault="00F815A6" w:rsidP="0033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F815A6" w:rsidRPr="001A5B94" w:rsidRDefault="00F815A6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="00C16900" w:rsidRPr="001A5B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F815A6" w:rsidRPr="001A5B94" w:rsidRDefault="00C16900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D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F815A6" w:rsidRPr="001A5B94" w:rsidRDefault="006D02E2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  <w:r w:rsidR="00F815A6"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00" w:rsidRPr="001A5B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15A6"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F815A6" w:rsidRPr="001A5B94" w:rsidRDefault="00390036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F815A6" w:rsidRPr="001A5B94" w:rsidRDefault="00390036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F815A6" w:rsidRDefault="00F815A6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390036" w:rsidRPr="00390036" w:rsidRDefault="00390036" w:rsidP="0033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90036" w:rsidRPr="001A5B94" w:rsidTr="00415937">
        <w:trPr>
          <w:trHeight w:val="58"/>
        </w:trPr>
        <w:tc>
          <w:tcPr>
            <w:tcW w:w="1643" w:type="dxa"/>
            <w:shd w:val="clear" w:color="auto" w:fill="D0CECE" w:themeFill="background2" w:themeFillShade="E6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0036" w:rsidRPr="00390036" w:rsidRDefault="00390036" w:rsidP="003900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0036" w:rsidRPr="001A5B94" w:rsidTr="00415937">
        <w:tc>
          <w:tcPr>
            <w:tcW w:w="1643" w:type="dxa"/>
          </w:tcPr>
          <w:p w:rsidR="00390036" w:rsidRPr="001A5B94" w:rsidRDefault="00390036" w:rsidP="003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A621002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2.899.248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3.518.688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3.381.881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036" w:rsidRPr="00415937" w:rsidRDefault="00390036" w:rsidP="00390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7">
              <w:rPr>
                <w:rFonts w:ascii="Times New Roman" w:hAnsi="Times New Roman" w:cs="Times New Roman"/>
                <w:sz w:val="24"/>
                <w:szCs w:val="24"/>
              </w:rPr>
              <w:t>3.381.883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036" w:rsidRPr="00415937" w:rsidRDefault="00390036" w:rsidP="00390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7">
              <w:rPr>
                <w:rFonts w:ascii="Times New Roman" w:hAnsi="Times New Roman" w:cs="Times New Roman"/>
                <w:sz w:val="24"/>
                <w:szCs w:val="24"/>
              </w:rPr>
              <w:t>116,65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90036" w:rsidRPr="00415937" w:rsidRDefault="00390036" w:rsidP="00390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bookmarkEnd w:id="3"/>
    </w:tbl>
    <w:p w:rsidR="006D02E2" w:rsidRDefault="006D02E2" w:rsidP="00415937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937" w:rsidRPr="006D02E2" w:rsidRDefault="00415937" w:rsidP="00415937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ove aktivnosti izvršavaju se plaće i materijalna prava zaposlenih na teret državnog proračuna</w:t>
      </w:r>
      <w:r w:rsidR="007D53BD">
        <w:rPr>
          <w:rFonts w:ascii="Times New Roman" w:hAnsi="Times New Roman" w:cs="Times New Roman"/>
          <w:sz w:val="24"/>
          <w:szCs w:val="24"/>
        </w:rPr>
        <w:t>. Rashodi za zaposlene izvršeni su u iznosu 3.369.061 eura</w:t>
      </w:r>
      <w:r w:rsidR="0094410C">
        <w:rPr>
          <w:rFonts w:ascii="Times New Roman" w:hAnsi="Times New Roman" w:cs="Times New Roman"/>
          <w:sz w:val="24"/>
          <w:szCs w:val="24"/>
        </w:rPr>
        <w:t xml:space="preserve">, </w:t>
      </w:r>
      <w:r w:rsidR="007D53BD">
        <w:rPr>
          <w:rFonts w:ascii="Times New Roman" w:hAnsi="Times New Roman" w:cs="Times New Roman"/>
          <w:sz w:val="24"/>
          <w:szCs w:val="24"/>
        </w:rPr>
        <w:t xml:space="preserve">dok materijalna prava  zaposlenih (naknade za prijevoz) </w:t>
      </w:r>
      <w:r w:rsidR="0094410C">
        <w:rPr>
          <w:rFonts w:ascii="Times New Roman" w:hAnsi="Times New Roman" w:cs="Times New Roman"/>
          <w:sz w:val="24"/>
          <w:szCs w:val="24"/>
        </w:rPr>
        <w:t>iznose</w:t>
      </w:r>
      <w:r w:rsidR="007D53BD">
        <w:rPr>
          <w:rFonts w:ascii="Times New Roman" w:hAnsi="Times New Roman" w:cs="Times New Roman"/>
          <w:sz w:val="24"/>
          <w:szCs w:val="24"/>
        </w:rPr>
        <w:t xml:space="preserve"> 61.983 eura. Na teret državnog proračuna na dan 31.12.2023. </w:t>
      </w:r>
      <w:r w:rsidR="007D53BD" w:rsidRPr="00AD3750">
        <w:rPr>
          <w:rFonts w:ascii="Times New Roman" w:hAnsi="Times New Roman" w:cs="Times New Roman"/>
          <w:sz w:val="24"/>
          <w:szCs w:val="24"/>
        </w:rPr>
        <w:t>ukupno je zaposleno</w:t>
      </w:r>
      <w:r w:rsidR="00AD3750">
        <w:rPr>
          <w:rFonts w:ascii="Times New Roman" w:hAnsi="Times New Roman" w:cs="Times New Roman"/>
          <w:sz w:val="24"/>
          <w:szCs w:val="24"/>
        </w:rPr>
        <w:t xml:space="preserve"> 103</w:t>
      </w:r>
      <w:r w:rsidR="007D53BD" w:rsidRPr="00AD3750">
        <w:rPr>
          <w:rFonts w:ascii="Times New Roman" w:hAnsi="Times New Roman" w:cs="Times New Roman"/>
          <w:sz w:val="24"/>
          <w:szCs w:val="24"/>
        </w:rPr>
        <w:t xml:space="preserve"> djelatnika</w:t>
      </w:r>
      <w:r w:rsidR="007D53BD">
        <w:rPr>
          <w:rFonts w:ascii="Times New Roman" w:hAnsi="Times New Roman" w:cs="Times New Roman"/>
          <w:sz w:val="24"/>
          <w:szCs w:val="24"/>
        </w:rPr>
        <w:t xml:space="preserve">. Unutar ove aktivnosti podmiruju se troškovi za sistematske preglede zaposlenih, a u 2023. godini 41 djelatnik obavio </w:t>
      </w:r>
      <w:r w:rsidR="0094410C">
        <w:rPr>
          <w:rFonts w:ascii="Times New Roman" w:hAnsi="Times New Roman" w:cs="Times New Roman"/>
          <w:sz w:val="24"/>
          <w:szCs w:val="24"/>
        </w:rPr>
        <w:t xml:space="preserve">je </w:t>
      </w:r>
      <w:r w:rsidR="007D53BD">
        <w:rPr>
          <w:rFonts w:ascii="Times New Roman" w:hAnsi="Times New Roman" w:cs="Times New Roman"/>
          <w:sz w:val="24"/>
          <w:szCs w:val="24"/>
        </w:rPr>
        <w:t>sistematski pregled. Naknada za kvotu za nezapošljavanje invalida u 2023. godini je plaćena u iznosu 4.309 eura.</w:t>
      </w:r>
    </w:p>
    <w:p w:rsidR="006D02E2" w:rsidRPr="001A5B94" w:rsidRDefault="006D02E2" w:rsidP="002F70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0E1" w:rsidRPr="001A5B94" w:rsidRDefault="002F70E1" w:rsidP="002F70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A622122 Programsko financiranje javnih visokih učilišta - Sveučilište u Rijeci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251"/>
        <w:gridCol w:w="1251"/>
        <w:gridCol w:w="1251"/>
        <w:gridCol w:w="1250"/>
        <w:gridCol w:w="1251"/>
        <w:gridCol w:w="1165"/>
      </w:tblGrid>
      <w:tr w:rsidR="00390036" w:rsidRPr="001A5B94" w:rsidTr="00D02775">
        <w:tc>
          <w:tcPr>
            <w:tcW w:w="1643" w:type="dxa"/>
            <w:shd w:val="clear" w:color="auto" w:fill="D0CECE" w:themeFill="background2" w:themeFillShade="E6"/>
          </w:tcPr>
          <w:p w:rsidR="00390036" w:rsidRPr="001A5B94" w:rsidRDefault="00390036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8280995"/>
          </w:p>
          <w:p w:rsidR="00390036" w:rsidRPr="001A5B94" w:rsidRDefault="00390036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390036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90036" w:rsidRPr="001A5B94" w:rsidTr="00415937">
        <w:trPr>
          <w:trHeight w:val="58"/>
        </w:trPr>
        <w:tc>
          <w:tcPr>
            <w:tcW w:w="1643" w:type="dxa"/>
            <w:shd w:val="clear" w:color="auto" w:fill="D0CECE" w:themeFill="background2" w:themeFillShade="E6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5937" w:rsidRPr="001A5B94" w:rsidTr="00415937">
        <w:tc>
          <w:tcPr>
            <w:tcW w:w="1643" w:type="dxa"/>
          </w:tcPr>
          <w:p w:rsidR="00415937" w:rsidRPr="001A5B94" w:rsidRDefault="00415937" w:rsidP="0041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342.114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390.009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369.458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15937" w:rsidRPr="00415937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7">
              <w:rPr>
                <w:rFonts w:ascii="Times New Roman" w:hAnsi="Times New Roman" w:cs="Times New Roman"/>
                <w:sz w:val="24"/>
                <w:szCs w:val="24"/>
              </w:rPr>
              <w:t>368.450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15937" w:rsidRPr="00415937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7">
              <w:rPr>
                <w:rFonts w:ascii="Times New Roman" w:hAnsi="Times New Roman" w:cs="Times New Roman"/>
                <w:sz w:val="24"/>
                <w:szCs w:val="24"/>
              </w:rPr>
              <w:t>107,70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15937" w:rsidRPr="00415937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937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bookmarkEnd w:id="4"/>
    </w:tbl>
    <w:p w:rsidR="006D02E2" w:rsidRPr="006D02E2" w:rsidRDefault="006D02E2" w:rsidP="006D02E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33C" w:rsidRPr="001A5B94" w:rsidRDefault="008A55E5" w:rsidP="00D773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750027"/>
      <w:bookmarkStart w:id="6" w:name="_Hlk53749823"/>
      <w:r>
        <w:rPr>
          <w:rFonts w:ascii="Times New Roman" w:hAnsi="Times New Roman" w:cs="Times New Roman"/>
          <w:sz w:val="24"/>
          <w:szCs w:val="24"/>
        </w:rPr>
        <w:t>Tijekom</w:t>
      </w:r>
      <w:r w:rsidR="00D7733C" w:rsidRPr="001A5B94">
        <w:rPr>
          <w:rFonts w:ascii="Times New Roman" w:hAnsi="Times New Roman" w:cs="Times New Roman"/>
          <w:sz w:val="24"/>
          <w:szCs w:val="24"/>
        </w:rPr>
        <w:t xml:space="preserve"> </w:t>
      </w:r>
      <w:r w:rsidR="00C16900" w:rsidRPr="001A5B94">
        <w:rPr>
          <w:rFonts w:ascii="Times New Roman" w:hAnsi="Times New Roman" w:cs="Times New Roman"/>
          <w:sz w:val="24"/>
          <w:szCs w:val="24"/>
        </w:rPr>
        <w:t>2023</w:t>
      </w:r>
      <w:r w:rsidR="00D7733C" w:rsidRPr="001A5B94">
        <w:rPr>
          <w:rFonts w:ascii="Times New Roman" w:hAnsi="Times New Roman" w:cs="Times New Roman"/>
          <w:sz w:val="24"/>
          <w:szCs w:val="24"/>
        </w:rPr>
        <w:t xml:space="preserve">. </w:t>
      </w:r>
      <w:r w:rsidR="00863153">
        <w:rPr>
          <w:rFonts w:ascii="Times New Roman" w:hAnsi="Times New Roman" w:cs="Times New Roman"/>
          <w:sz w:val="24"/>
          <w:szCs w:val="24"/>
        </w:rPr>
        <w:t>godine</w:t>
      </w:r>
      <w:r w:rsidR="00D7733C" w:rsidRPr="001A5B94">
        <w:rPr>
          <w:rFonts w:ascii="Times New Roman" w:hAnsi="Times New Roman" w:cs="Times New Roman"/>
          <w:sz w:val="24"/>
          <w:szCs w:val="24"/>
        </w:rPr>
        <w:t xml:space="preserve"> </w:t>
      </w:r>
      <w:r w:rsidR="007D53BD">
        <w:rPr>
          <w:rFonts w:ascii="Times New Roman" w:hAnsi="Times New Roman" w:cs="Times New Roman"/>
          <w:sz w:val="24"/>
          <w:szCs w:val="24"/>
        </w:rPr>
        <w:t>sredstvima programskih ugovora izvršeno je f</w:t>
      </w:r>
      <w:r w:rsidR="00D7733C" w:rsidRPr="001A5B94">
        <w:rPr>
          <w:rFonts w:ascii="Times New Roman" w:hAnsi="Times New Roman" w:cs="Times New Roman"/>
          <w:sz w:val="24"/>
          <w:szCs w:val="24"/>
        </w:rPr>
        <w:t>inanciranje materijalnih troškova Fakulteta, kao i tekuće i investicijsko održavanje i nabava opreme za učionice i znanstveno istraživački rad, financiranje vanjske suradnje</w:t>
      </w:r>
      <w:r w:rsidR="00DD319D" w:rsidRPr="001A5B94">
        <w:rPr>
          <w:rFonts w:ascii="Times New Roman" w:hAnsi="Times New Roman" w:cs="Times New Roman"/>
          <w:sz w:val="24"/>
          <w:szCs w:val="24"/>
        </w:rPr>
        <w:t xml:space="preserve"> </w:t>
      </w:r>
      <w:r w:rsidR="00D7733C" w:rsidRPr="001A5B94">
        <w:rPr>
          <w:rFonts w:ascii="Times New Roman" w:hAnsi="Times New Roman" w:cs="Times New Roman"/>
          <w:sz w:val="24"/>
          <w:szCs w:val="24"/>
        </w:rPr>
        <w:t xml:space="preserve">i nastavak UNIRI znanstvenih potpora za financiranje specifičnih troškova znanstveno-istraživačkog rada. </w:t>
      </w:r>
    </w:p>
    <w:bookmarkEnd w:id="5"/>
    <w:p w:rsidR="00632874" w:rsidRPr="001A5B94" w:rsidRDefault="00632874" w:rsidP="00632874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Ova aktivnost sastoji se od sljedećih </w:t>
      </w:r>
      <w:proofErr w:type="spellStart"/>
      <w:r w:rsidRPr="001A5B94">
        <w:rPr>
          <w:rFonts w:ascii="Times New Roman" w:hAnsi="Times New Roman" w:cs="Times New Roman"/>
          <w:i/>
          <w:sz w:val="24"/>
          <w:szCs w:val="24"/>
        </w:rPr>
        <w:t>podaktivnosti</w:t>
      </w:r>
      <w:proofErr w:type="spellEnd"/>
      <w:r w:rsidRPr="001A5B94">
        <w:rPr>
          <w:rFonts w:ascii="Times New Roman" w:hAnsi="Times New Roman" w:cs="Times New Roman"/>
          <w:i/>
          <w:sz w:val="24"/>
          <w:szCs w:val="24"/>
        </w:rPr>
        <w:t>:</w:t>
      </w:r>
    </w:p>
    <w:p w:rsidR="00632874" w:rsidRPr="001A5B94" w:rsidRDefault="00632874" w:rsidP="0063287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Programsko financiranje namijenjeno pokriću materijalnih troškova</w:t>
      </w:r>
      <w:r w:rsidR="00C45954" w:rsidRPr="001A5B94">
        <w:rPr>
          <w:rFonts w:ascii="Times New Roman" w:hAnsi="Times New Roman" w:cs="Times New Roman"/>
          <w:i/>
          <w:sz w:val="24"/>
          <w:szCs w:val="24"/>
        </w:rPr>
        <w:t xml:space="preserve"> Fakulteta</w:t>
      </w:r>
    </w:p>
    <w:p w:rsidR="00632874" w:rsidRPr="001A5B94" w:rsidRDefault="00632874" w:rsidP="0063287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UNIRI </w:t>
      </w:r>
      <w:r w:rsidR="0041323D" w:rsidRPr="001A5B94">
        <w:rPr>
          <w:rFonts w:ascii="Times New Roman" w:hAnsi="Times New Roman" w:cs="Times New Roman"/>
          <w:i/>
          <w:sz w:val="24"/>
          <w:szCs w:val="24"/>
        </w:rPr>
        <w:t>potpore znanstvenim istraživanjima</w:t>
      </w:r>
    </w:p>
    <w:p w:rsidR="00010779" w:rsidRDefault="00010779" w:rsidP="00010779">
      <w:pPr>
        <w:jc w:val="both"/>
        <w:rPr>
          <w:rFonts w:ascii="Times New Roman" w:hAnsi="Times New Roman" w:cs="Times New Roman"/>
          <w:sz w:val="24"/>
          <w:szCs w:val="24"/>
        </w:rPr>
      </w:pPr>
      <w:r w:rsidRPr="007D53BD">
        <w:rPr>
          <w:rFonts w:ascii="Times New Roman" w:hAnsi="Times New Roman" w:cs="Times New Roman"/>
          <w:sz w:val="24"/>
          <w:szCs w:val="24"/>
        </w:rPr>
        <w:t xml:space="preserve">Sredstva programskog financiranja </w:t>
      </w:r>
      <w:r w:rsidR="007D53BD">
        <w:rPr>
          <w:rFonts w:ascii="Times New Roman" w:hAnsi="Times New Roman" w:cs="Times New Roman"/>
          <w:sz w:val="24"/>
          <w:szCs w:val="24"/>
        </w:rPr>
        <w:t xml:space="preserve">izvršena su u iznosu </w:t>
      </w: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  <w:r w:rsidR="007D53BD">
        <w:rPr>
          <w:rFonts w:ascii="Times New Roman" w:hAnsi="Times New Roman" w:cs="Times New Roman"/>
          <w:sz w:val="24"/>
          <w:szCs w:val="24"/>
        </w:rPr>
        <w:t>365.576</w:t>
      </w: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  <w:r w:rsidR="00CD6F16" w:rsidRPr="007D53BD">
        <w:rPr>
          <w:rFonts w:ascii="Times New Roman" w:hAnsi="Times New Roman" w:cs="Times New Roman"/>
          <w:sz w:val="24"/>
          <w:szCs w:val="24"/>
        </w:rPr>
        <w:t xml:space="preserve">EUR </w:t>
      </w:r>
      <w:r w:rsidRPr="007D53BD">
        <w:rPr>
          <w:rFonts w:ascii="Times New Roman" w:hAnsi="Times New Roman" w:cs="Times New Roman"/>
          <w:sz w:val="24"/>
          <w:szCs w:val="24"/>
        </w:rPr>
        <w:t>prema zaključenom programskom ugovoru</w:t>
      </w:r>
      <w:r w:rsidR="00863153" w:rsidRPr="007D53BD">
        <w:rPr>
          <w:rFonts w:ascii="Times New Roman" w:hAnsi="Times New Roman" w:cs="Times New Roman"/>
          <w:sz w:val="24"/>
          <w:szCs w:val="24"/>
        </w:rPr>
        <w:t xml:space="preserve"> i dostavljenim limitima od strane Sveučilišta u Rijeci.</w:t>
      </w:r>
    </w:p>
    <w:p w:rsidR="0084143A" w:rsidRPr="007D53BD" w:rsidRDefault="0084143A" w:rsidP="000107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 prema zaključenim ugovorima sa zaposlenicima Fakulteta izvršene su u iznosu 2.873 eura.</w:t>
      </w:r>
    </w:p>
    <w:p w:rsidR="00010779" w:rsidRPr="001A5B94" w:rsidRDefault="00010779" w:rsidP="000107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Nastavno su prikazani institucijski ciljevi i rezultati koji su predviđeni </w:t>
      </w:r>
      <w:r w:rsidR="007D53BD">
        <w:rPr>
          <w:rFonts w:ascii="Times New Roman" w:hAnsi="Times New Roman" w:cs="Times New Roman"/>
          <w:i/>
          <w:sz w:val="24"/>
          <w:szCs w:val="24"/>
        </w:rPr>
        <w:t>p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rogramskim ugovorom u </w:t>
      </w:r>
      <w:r w:rsidR="007D53BD">
        <w:rPr>
          <w:rFonts w:ascii="Times New Roman" w:hAnsi="Times New Roman" w:cs="Times New Roman"/>
          <w:i/>
          <w:sz w:val="24"/>
          <w:szCs w:val="24"/>
        </w:rPr>
        <w:t>izvještajnom razdoblju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programskog financiranja</w:t>
      </w:r>
      <w:r w:rsidR="00CD6F1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Reetkatablice"/>
        <w:tblW w:w="921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1701"/>
        <w:gridCol w:w="1985"/>
      </w:tblGrid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8282128"/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rijednost za 2023.</w:t>
            </w:r>
          </w:p>
        </w:tc>
      </w:tr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4143A" w:rsidRPr="001A5B94" w:rsidRDefault="00841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4143A" w:rsidRPr="001A5B94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Broj studenata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Udio dolaznih međunarodnih studenata (dolazna mobilnost studenata)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Isvu</w:t>
            </w:r>
            <w:proofErr w:type="spellEnd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 baza podataka</w:t>
            </w:r>
          </w:p>
          <w:p w:rsidR="00B37A8E" w:rsidRPr="00A325CB" w:rsidRDefault="00B37A8E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Broj znanstvenih autorskih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jiga s međunarodnom recenzijom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Povećanje broja znanstvenih autorskih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jiga s međunarodnom recenzijom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znanstvena autorska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knjig</w:t>
            </w: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a s međunarodnom recenzijom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(podatak za 2021)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5B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Crosbi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Broj studenata koji su u prethodnoj akademskoj godini stekli minimalno 55 ECTS bodova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Uspješnost studiranja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Broj studenata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>ISVU baza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3A" w:rsidRPr="00A325CB" w:rsidRDefault="00A91695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bookmarkStart w:id="8" w:name="_GoBack"/>
            <w:bookmarkEnd w:id="8"/>
          </w:p>
        </w:tc>
      </w:tr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Broj radova objavljenih u časopisima uvedenim u 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-bazi Web </w:t>
            </w:r>
            <w:proofErr w:type="spellStart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 Science za STEM područja znanosti, 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- broj radova objavljenih u časopisima uvedenim u bazu Web </w:t>
            </w:r>
            <w:proofErr w:type="spellStart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325CB">
              <w:rPr>
                <w:rFonts w:ascii="Times New Roman" w:hAnsi="Times New Roman" w:cs="Times New Roman"/>
                <w:sz w:val="24"/>
                <w:szCs w:val="24"/>
              </w:rPr>
              <w:t xml:space="preserve"> Science i bazu SCOPUS za društveno, humanističko i interdisciplinarno područje znanosti i umjetnosti (objavljenih tijekom jedne godine)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Znanstvena produktivnost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Broj radova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 w:rsidP="00806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 </w:t>
            </w:r>
            <w:proofErr w:type="spellStart"/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Science</w:t>
            </w:r>
          </w:p>
          <w:p w:rsidR="0084143A" w:rsidRPr="00A325CB" w:rsidRDefault="0084143A" w:rsidP="00806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8" w:history="1">
              <w:r w:rsidRPr="00A325CB">
                <w:rPr>
                  <w:rStyle w:val="Hiperveza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https://bit.ly/2Iuj2yp</w:t>
              </w:r>
            </w:hyperlink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4143A" w:rsidRPr="00A325CB" w:rsidRDefault="0084143A" w:rsidP="00806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43A" w:rsidRPr="00A325CB" w:rsidRDefault="0084143A" w:rsidP="00806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>Wos</w:t>
            </w:r>
            <w:proofErr w:type="spellEnd"/>
            <w:r w:rsidRPr="00A32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SCOPUS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3A" w:rsidRPr="00A325CB" w:rsidRDefault="00AD3750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4143A" w:rsidRPr="00A325CB" w:rsidRDefault="0084143A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3A" w:rsidRPr="00A325CB" w:rsidRDefault="00AD3750" w:rsidP="0001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4143A" w:rsidRPr="001A5B94" w:rsidTr="009441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 Omjer broja završenih studenata u akademskoj godini i broja studenata upisanih u prvu godinu te akademske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Završnost studija</w:t>
            </w:r>
          </w:p>
          <w:p w:rsidR="00B37A8E" w:rsidRPr="00A325CB" w:rsidRDefault="00B3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A" w:rsidRPr="00A325CB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Omjer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8E" w:rsidRDefault="008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ISVU baza podataka</w:t>
            </w:r>
            <w:r w:rsidR="00B3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3A" w:rsidRPr="00A325CB" w:rsidRDefault="00B3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 g. 202/2023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3A" w:rsidRPr="00A325CB" w:rsidRDefault="0084143A" w:rsidP="0006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7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bookmarkEnd w:id="7"/>
    </w:tbl>
    <w:p w:rsidR="00010779" w:rsidRDefault="00010779" w:rsidP="00ED47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4410C" w:rsidRDefault="0094410C" w:rsidP="00ED47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465" w:rsidRPr="001A5B94" w:rsidRDefault="00F13465" w:rsidP="00F1346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lastRenderedPageBreak/>
        <w:t>A62</w:t>
      </w:r>
      <w:r>
        <w:rPr>
          <w:rFonts w:ascii="Times New Roman" w:hAnsi="Times New Roman" w:cs="Times New Roman"/>
          <w:b/>
          <w:sz w:val="28"/>
          <w:szCs w:val="28"/>
        </w:rPr>
        <w:t>1181</w:t>
      </w:r>
      <w:r w:rsidRPr="001A5B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Pravomoćne sudske presude</w:t>
      </w:r>
    </w:p>
    <w:p w:rsidR="006D02E2" w:rsidRPr="006D02E2" w:rsidRDefault="006D02E2" w:rsidP="006D02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251"/>
        <w:gridCol w:w="1251"/>
        <w:gridCol w:w="1251"/>
        <w:gridCol w:w="1250"/>
        <w:gridCol w:w="1251"/>
        <w:gridCol w:w="1165"/>
      </w:tblGrid>
      <w:tr w:rsidR="00415937" w:rsidRPr="001A5B94" w:rsidTr="00D02775">
        <w:tc>
          <w:tcPr>
            <w:tcW w:w="1643" w:type="dxa"/>
            <w:shd w:val="clear" w:color="auto" w:fill="D0CECE" w:themeFill="background2" w:themeFillShade="E6"/>
          </w:tcPr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415937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415937" w:rsidRPr="001A5B94" w:rsidTr="00D02775">
        <w:trPr>
          <w:trHeight w:val="58"/>
        </w:trPr>
        <w:tc>
          <w:tcPr>
            <w:tcW w:w="1643" w:type="dxa"/>
            <w:shd w:val="clear" w:color="auto" w:fill="D0CECE" w:themeFill="background2" w:themeFillShade="E6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5937" w:rsidRPr="001A5B94" w:rsidTr="00D02775">
        <w:tc>
          <w:tcPr>
            <w:tcW w:w="1643" w:type="dxa"/>
          </w:tcPr>
          <w:p w:rsidR="00415937" w:rsidRPr="001A5B94" w:rsidRDefault="00415937" w:rsidP="00D0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51" w:type="dxa"/>
          </w:tcPr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5.423</w:t>
            </w:r>
          </w:p>
        </w:tc>
        <w:tc>
          <w:tcPr>
            <w:tcW w:w="1251" w:type="dxa"/>
          </w:tcPr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150.210</w:t>
            </w:r>
          </w:p>
        </w:tc>
        <w:tc>
          <w:tcPr>
            <w:tcW w:w="1251" w:type="dxa"/>
          </w:tcPr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15937" w:rsidRPr="00415937" w:rsidRDefault="00415937" w:rsidP="00D02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15937" w:rsidRPr="00415937" w:rsidRDefault="00415937" w:rsidP="00D02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15937" w:rsidRPr="00415937" w:rsidRDefault="00415937" w:rsidP="00D02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100,64</w:t>
            </w:r>
          </w:p>
        </w:tc>
      </w:tr>
    </w:tbl>
    <w:p w:rsidR="00415937" w:rsidRDefault="00415937" w:rsidP="00ED4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465" w:rsidRDefault="00415937" w:rsidP="00ED476D">
      <w:pPr>
        <w:jc w:val="both"/>
        <w:rPr>
          <w:rFonts w:ascii="Times New Roman" w:hAnsi="Times New Roman" w:cs="Times New Roman"/>
          <w:sz w:val="24"/>
          <w:szCs w:val="24"/>
        </w:rPr>
      </w:pPr>
      <w:r w:rsidRPr="006D02E2">
        <w:rPr>
          <w:rFonts w:ascii="Times New Roman" w:hAnsi="Times New Roman" w:cs="Times New Roman"/>
          <w:sz w:val="24"/>
          <w:szCs w:val="24"/>
        </w:rPr>
        <w:t>U ovoj aktivnosti</w:t>
      </w:r>
      <w:r w:rsidR="007D53BD">
        <w:rPr>
          <w:rFonts w:ascii="Times New Roman" w:hAnsi="Times New Roman" w:cs="Times New Roman"/>
          <w:sz w:val="24"/>
          <w:szCs w:val="24"/>
        </w:rPr>
        <w:t xml:space="preserve"> </w:t>
      </w:r>
      <w:r w:rsidR="0094410C">
        <w:rPr>
          <w:rFonts w:ascii="Times New Roman" w:hAnsi="Times New Roman" w:cs="Times New Roman"/>
          <w:sz w:val="24"/>
          <w:szCs w:val="24"/>
        </w:rPr>
        <w:t>evidentirani su</w:t>
      </w:r>
      <w:r w:rsidRPr="006D02E2">
        <w:rPr>
          <w:rFonts w:ascii="Times New Roman" w:hAnsi="Times New Roman" w:cs="Times New Roman"/>
          <w:sz w:val="24"/>
          <w:szCs w:val="24"/>
        </w:rPr>
        <w:t xml:space="preserve"> troškovi pravomoćnih sudskih presuda za povećanje osnovice 6%, koje Fakultet treba isplatiti svojim </w:t>
      </w:r>
      <w:r w:rsidR="0094410C">
        <w:rPr>
          <w:rFonts w:ascii="Times New Roman" w:hAnsi="Times New Roman" w:cs="Times New Roman"/>
          <w:sz w:val="24"/>
          <w:szCs w:val="24"/>
        </w:rPr>
        <w:t>djelatnicim</w:t>
      </w:r>
      <w:r w:rsidRPr="006D02E2">
        <w:rPr>
          <w:rFonts w:ascii="Times New Roman" w:hAnsi="Times New Roman" w:cs="Times New Roman"/>
          <w:sz w:val="24"/>
          <w:szCs w:val="24"/>
        </w:rPr>
        <w:t>a, a iznos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E2">
        <w:rPr>
          <w:rFonts w:ascii="Times New Roman" w:hAnsi="Times New Roman" w:cs="Times New Roman"/>
          <w:sz w:val="24"/>
          <w:szCs w:val="24"/>
        </w:rPr>
        <w:t xml:space="preserve"> </w:t>
      </w:r>
      <w:r w:rsidR="0084143A">
        <w:rPr>
          <w:rFonts w:ascii="Times New Roman" w:hAnsi="Times New Roman" w:cs="Times New Roman"/>
          <w:sz w:val="24"/>
          <w:szCs w:val="24"/>
        </w:rPr>
        <w:t>10.625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E2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 xml:space="preserve"> odnosi se na 5 (pet) isplata</w:t>
      </w:r>
      <w:r w:rsidR="0084143A">
        <w:rPr>
          <w:rFonts w:ascii="Times New Roman" w:hAnsi="Times New Roman" w:cs="Times New Roman"/>
          <w:sz w:val="24"/>
          <w:szCs w:val="24"/>
        </w:rPr>
        <w:t xml:space="preserve"> koje su obavljene u 2023. godini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6"/>
    <w:p w:rsidR="0041323D" w:rsidRPr="001A5B94" w:rsidRDefault="0041323D" w:rsidP="0041323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>A679089 Redovna djelatnost Sveučilišta u Rijeci (iz evidencijskih prihoda)</w:t>
      </w:r>
    </w:p>
    <w:p w:rsidR="00390036" w:rsidRPr="00390036" w:rsidRDefault="00390036" w:rsidP="00390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_Hlk5375086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251"/>
        <w:gridCol w:w="1251"/>
        <w:gridCol w:w="1251"/>
        <w:gridCol w:w="1250"/>
        <w:gridCol w:w="1251"/>
        <w:gridCol w:w="1165"/>
      </w:tblGrid>
      <w:tr w:rsidR="00390036" w:rsidRPr="001A5B94" w:rsidTr="00D02775">
        <w:tc>
          <w:tcPr>
            <w:tcW w:w="1643" w:type="dxa"/>
            <w:shd w:val="clear" w:color="auto" w:fill="D0CECE" w:themeFill="background2" w:themeFillShade="E6"/>
          </w:tcPr>
          <w:p w:rsidR="00390036" w:rsidRPr="001A5B94" w:rsidRDefault="00390036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58280404"/>
          </w:p>
          <w:p w:rsidR="00390036" w:rsidRPr="001A5B94" w:rsidRDefault="00390036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390036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90036" w:rsidRPr="001A5B94" w:rsidTr="00D02775">
        <w:trPr>
          <w:trHeight w:val="58"/>
        </w:trPr>
        <w:tc>
          <w:tcPr>
            <w:tcW w:w="1643" w:type="dxa"/>
            <w:shd w:val="clear" w:color="auto" w:fill="D0CECE" w:themeFill="background2" w:themeFillShade="E6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0036" w:rsidRPr="001A5B94" w:rsidTr="00D02775">
        <w:tc>
          <w:tcPr>
            <w:tcW w:w="1643" w:type="dxa"/>
          </w:tcPr>
          <w:p w:rsidR="00390036" w:rsidRPr="001A5B94" w:rsidRDefault="00390036" w:rsidP="003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A679089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2.487.887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1.871.347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2.189.502</w:t>
            </w:r>
          </w:p>
        </w:tc>
        <w:tc>
          <w:tcPr>
            <w:tcW w:w="1250" w:type="dxa"/>
          </w:tcPr>
          <w:p w:rsidR="00390036" w:rsidRPr="001A5B94" w:rsidRDefault="00415937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827.562</w:t>
            </w:r>
          </w:p>
        </w:tc>
        <w:tc>
          <w:tcPr>
            <w:tcW w:w="1251" w:type="dxa"/>
          </w:tcPr>
          <w:p w:rsidR="00390036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165" w:type="dxa"/>
          </w:tcPr>
          <w:p w:rsidR="00390036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92,26</w:t>
            </w:r>
          </w:p>
        </w:tc>
      </w:tr>
    </w:tbl>
    <w:p w:rsidR="00BB6AE9" w:rsidRPr="001A5B94" w:rsidRDefault="00BB6AE9" w:rsidP="00BB6A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753711"/>
      <w:bookmarkEnd w:id="9"/>
      <w:bookmarkEnd w:id="10"/>
    </w:p>
    <w:bookmarkEnd w:id="11"/>
    <w:p w:rsidR="00BB6AE9" w:rsidRPr="001A5B94" w:rsidRDefault="00BB6AE9" w:rsidP="00BB6AE9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Ova aktivnost  sastoji se od sljedećih </w:t>
      </w:r>
      <w:proofErr w:type="spellStart"/>
      <w:r w:rsidRPr="001A5B94">
        <w:rPr>
          <w:rFonts w:ascii="Times New Roman" w:hAnsi="Times New Roman" w:cs="Times New Roman"/>
          <w:i/>
          <w:sz w:val="24"/>
          <w:szCs w:val="24"/>
        </w:rPr>
        <w:t>podaktivnosti</w:t>
      </w:r>
      <w:proofErr w:type="spellEnd"/>
      <w:r w:rsidR="00FC7CA7" w:rsidRPr="001A5B94">
        <w:rPr>
          <w:rFonts w:ascii="Times New Roman" w:hAnsi="Times New Roman" w:cs="Times New Roman"/>
          <w:i/>
          <w:sz w:val="24"/>
          <w:szCs w:val="24"/>
        </w:rPr>
        <w:t xml:space="preserve"> raspoređenih sukladno izvorima iz kojih se financiraju</w:t>
      </w:r>
      <w:r w:rsidRPr="001A5B94">
        <w:rPr>
          <w:rFonts w:ascii="Times New Roman" w:hAnsi="Times New Roman" w:cs="Times New Roman"/>
          <w:i/>
          <w:sz w:val="24"/>
          <w:szCs w:val="24"/>
        </w:rPr>
        <w:t>: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>Osnovna djelatnosti – participacija školarina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Poslijediplomski studij „Pomorstvo“ 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7319283"/>
      <w:r w:rsidRPr="00AB0246">
        <w:rPr>
          <w:rFonts w:ascii="Times New Roman" w:hAnsi="Times New Roman" w:cs="Times New Roman"/>
          <w:sz w:val="24"/>
          <w:szCs w:val="24"/>
        </w:rPr>
        <w:t xml:space="preserve">Programi cjeloživotnog obrazovanja-izobrazba za pomorce </w:t>
      </w:r>
    </w:p>
    <w:bookmarkEnd w:id="12"/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Stručna djelatnost – projekti za gospodarstvo 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>Rad Studentskog zbora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Programi znanstveno-istraživačke djelatnosti 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Projekt Hrvatske zaklade za znanost 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Izdavanje znanstvenih udžbenika 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Izdavanje časopisa „Pomorstvo“ 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>Organiziranje i održavanje znanstvenih skupova</w:t>
      </w:r>
    </w:p>
    <w:p w:rsidR="00AB0246" w:rsidRPr="00AB0246" w:rsidRDefault="00AB0246" w:rsidP="00AB0246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>Ostale nespomenute aktivnosti .</w:t>
      </w:r>
    </w:p>
    <w:p w:rsidR="00AB0246" w:rsidRDefault="00AB0246" w:rsidP="00BB6A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 xml:space="preserve">Osnovna djelatnost – participacija školarina i ostalih s njima povezanih prihoda  </w:t>
      </w:r>
    </w:p>
    <w:p w:rsidR="00AB0246" w:rsidRDefault="00AB0246" w:rsidP="00AB024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246">
        <w:rPr>
          <w:rFonts w:ascii="Times New Roman" w:hAnsi="Times New Roman" w:cs="Times New Roman"/>
          <w:sz w:val="24"/>
          <w:szCs w:val="24"/>
        </w:rPr>
        <w:t xml:space="preserve">. </w:t>
      </w:r>
      <w:r w:rsidR="0084143A">
        <w:rPr>
          <w:rFonts w:ascii="Times New Roman" w:hAnsi="Times New Roman" w:cs="Times New Roman"/>
          <w:sz w:val="24"/>
          <w:szCs w:val="24"/>
        </w:rPr>
        <w:t xml:space="preserve">izvršena </w:t>
      </w:r>
      <w:r w:rsidRPr="00AB0246">
        <w:rPr>
          <w:rFonts w:ascii="Times New Roman" w:hAnsi="Times New Roman" w:cs="Times New Roman"/>
          <w:sz w:val="24"/>
          <w:szCs w:val="24"/>
        </w:rPr>
        <w:t xml:space="preserve">su sredstva </w:t>
      </w:r>
      <w:r w:rsidR="00C878F3">
        <w:rPr>
          <w:rFonts w:ascii="Times New Roman" w:hAnsi="Times New Roman" w:cs="Times New Roman"/>
          <w:sz w:val="24"/>
          <w:szCs w:val="24"/>
        </w:rPr>
        <w:t xml:space="preserve">iz izvora 43 </w:t>
      </w:r>
      <w:r w:rsidRPr="00AB0246">
        <w:rPr>
          <w:rFonts w:ascii="Times New Roman" w:hAnsi="Times New Roman" w:cs="Times New Roman"/>
          <w:sz w:val="24"/>
          <w:szCs w:val="24"/>
        </w:rPr>
        <w:t>u</w:t>
      </w:r>
      <w:r w:rsidR="0084143A">
        <w:rPr>
          <w:rFonts w:ascii="Times New Roman" w:hAnsi="Times New Roman" w:cs="Times New Roman"/>
          <w:sz w:val="24"/>
          <w:szCs w:val="24"/>
        </w:rPr>
        <w:t xml:space="preserve"> ukupnom </w:t>
      </w:r>
      <w:r w:rsidRPr="00AB0246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84143A">
        <w:rPr>
          <w:rFonts w:ascii="Times New Roman" w:hAnsi="Times New Roman" w:cs="Times New Roman"/>
          <w:sz w:val="24"/>
          <w:szCs w:val="24"/>
        </w:rPr>
        <w:t>691.144</w:t>
      </w:r>
      <w:r w:rsidRPr="00AB0246">
        <w:rPr>
          <w:rFonts w:ascii="Times New Roman" w:hAnsi="Times New Roman" w:cs="Times New Roman"/>
          <w:sz w:val="24"/>
          <w:szCs w:val="24"/>
        </w:rPr>
        <w:t xml:space="preserve"> EUR</w:t>
      </w:r>
      <w:r w:rsidR="0084143A">
        <w:rPr>
          <w:rFonts w:ascii="Times New Roman" w:hAnsi="Times New Roman" w:cs="Times New Roman"/>
          <w:sz w:val="24"/>
          <w:szCs w:val="24"/>
        </w:rPr>
        <w:t xml:space="preserve">, od toga za </w:t>
      </w:r>
      <w:r w:rsidRPr="00AB0246">
        <w:rPr>
          <w:rFonts w:ascii="Times New Roman" w:hAnsi="Times New Roman" w:cs="Times New Roman"/>
          <w:sz w:val="24"/>
          <w:szCs w:val="24"/>
        </w:rPr>
        <w:t xml:space="preserve"> rashod</w:t>
      </w:r>
      <w:r w:rsidR="0084143A">
        <w:rPr>
          <w:rFonts w:ascii="Times New Roman" w:hAnsi="Times New Roman" w:cs="Times New Roman"/>
          <w:sz w:val="24"/>
          <w:szCs w:val="24"/>
        </w:rPr>
        <w:t>e</w:t>
      </w:r>
      <w:r w:rsidRPr="00AB0246">
        <w:rPr>
          <w:rFonts w:ascii="Times New Roman" w:hAnsi="Times New Roman" w:cs="Times New Roman"/>
          <w:sz w:val="24"/>
          <w:szCs w:val="24"/>
        </w:rPr>
        <w:t xml:space="preserve"> za zaposlene temeljem Pravilnika o plaćama i drugim primanjima</w:t>
      </w:r>
      <w:r w:rsidR="0084143A">
        <w:rPr>
          <w:rFonts w:ascii="Times New Roman" w:hAnsi="Times New Roman" w:cs="Times New Roman"/>
          <w:sz w:val="24"/>
          <w:szCs w:val="24"/>
        </w:rPr>
        <w:t xml:space="preserve"> utrošeno je 338.326 EUR</w:t>
      </w:r>
      <w:r w:rsidRPr="00AB0246">
        <w:rPr>
          <w:rFonts w:ascii="Times New Roman" w:hAnsi="Times New Roman" w:cs="Times New Roman"/>
          <w:sz w:val="24"/>
          <w:szCs w:val="24"/>
        </w:rPr>
        <w:t>, za materijalne rashode</w:t>
      </w:r>
      <w:r w:rsidR="0084143A">
        <w:rPr>
          <w:rFonts w:ascii="Times New Roman" w:hAnsi="Times New Roman" w:cs="Times New Roman"/>
          <w:sz w:val="24"/>
          <w:szCs w:val="24"/>
        </w:rPr>
        <w:t xml:space="preserve"> iznos od 251.919</w:t>
      </w:r>
      <w:r w:rsidR="0084143A" w:rsidRPr="00AB0246">
        <w:rPr>
          <w:rFonts w:ascii="Times New Roman" w:hAnsi="Times New Roman" w:cs="Times New Roman"/>
          <w:sz w:val="24"/>
          <w:szCs w:val="24"/>
        </w:rPr>
        <w:t xml:space="preserve"> EUR</w:t>
      </w:r>
      <w:r w:rsidRPr="00AB0246">
        <w:rPr>
          <w:rFonts w:ascii="Times New Roman" w:hAnsi="Times New Roman" w:cs="Times New Roman"/>
          <w:sz w:val="24"/>
          <w:szCs w:val="24"/>
        </w:rPr>
        <w:t>,</w:t>
      </w:r>
      <w:r w:rsidR="00C03552">
        <w:rPr>
          <w:rFonts w:ascii="Times New Roman" w:hAnsi="Times New Roman" w:cs="Times New Roman"/>
          <w:sz w:val="24"/>
          <w:szCs w:val="24"/>
        </w:rPr>
        <w:t xml:space="preserve"> </w:t>
      </w:r>
      <w:r w:rsidRPr="00AB0246">
        <w:rPr>
          <w:rFonts w:ascii="Times New Roman" w:hAnsi="Times New Roman" w:cs="Times New Roman"/>
          <w:sz w:val="24"/>
          <w:szCs w:val="24"/>
        </w:rPr>
        <w:t>za financijske rashode</w:t>
      </w:r>
      <w:r w:rsidR="000C0866">
        <w:rPr>
          <w:rFonts w:ascii="Times New Roman" w:hAnsi="Times New Roman" w:cs="Times New Roman"/>
          <w:sz w:val="24"/>
          <w:szCs w:val="24"/>
        </w:rPr>
        <w:t xml:space="preserve"> iznos od 1.435 EUR</w:t>
      </w:r>
      <w:r w:rsidRPr="00AB0246">
        <w:rPr>
          <w:rFonts w:ascii="Times New Roman" w:hAnsi="Times New Roman" w:cs="Times New Roman"/>
          <w:sz w:val="24"/>
          <w:szCs w:val="24"/>
        </w:rPr>
        <w:t>, za prijenos sredstava školarina Sveučilištu u Rijeci temeljem obračunatih prihoda (3%+1%)</w:t>
      </w:r>
      <w:r w:rsidR="000C0866">
        <w:rPr>
          <w:rFonts w:ascii="Times New Roman" w:hAnsi="Times New Roman" w:cs="Times New Roman"/>
          <w:sz w:val="24"/>
          <w:szCs w:val="24"/>
        </w:rPr>
        <w:t xml:space="preserve"> iznos od</w:t>
      </w:r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="000C0866">
        <w:rPr>
          <w:rFonts w:ascii="Times New Roman" w:hAnsi="Times New Roman" w:cs="Times New Roman"/>
          <w:sz w:val="24"/>
          <w:szCs w:val="24"/>
        </w:rPr>
        <w:t>29.643</w:t>
      </w:r>
      <w:r w:rsidR="000C0866" w:rsidRPr="00AB0246">
        <w:rPr>
          <w:rFonts w:ascii="Times New Roman" w:hAnsi="Times New Roman" w:cs="Times New Roman"/>
          <w:sz w:val="24"/>
          <w:szCs w:val="24"/>
        </w:rPr>
        <w:t xml:space="preserve"> EUR</w:t>
      </w:r>
      <w:r w:rsidR="000C0866">
        <w:rPr>
          <w:rFonts w:ascii="Times New Roman" w:hAnsi="Times New Roman" w:cs="Times New Roman"/>
          <w:sz w:val="24"/>
          <w:szCs w:val="24"/>
        </w:rPr>
        <w:t>,</w:t>
      </w:r>
      <w:r w:rsidRPr="00AB0246">
        <w:rPr>
          <w:rFonts w:ascii="Times New Roman" w:hAnsi="Times New Roman" w:cs="Times New Roman"/>
          <w:sz w:val="24"/>
          <w:szCs w:val="24"/>
        </w:rPr>
        <w:t xml:space="preserve"> za školarine zaposlenika na doktorskom studiju</w:t>
      </w:r>
      <w:r w:rsidR="000C0866">
        <w:rPr>
          <w:rFonts w:ascii="Times New Roman" w:hAnsi="Times New Roman" w:cs="Times New Roman"/>
          <w:sz w:val="24"/>
          <w:szCs w:val="24"/>
        </w:rPr>
        <w:t xml:space="preserve"> iznos od 1.140, </w:t>
      </w:r>
      <w:r w:rsidRPr="00AB0246">
        <w:rPr>
          <w:rFonts w:ascii="Times New Roman" w:hAnsi="Times New Roman" w:cs="Times New Roman"/>
          <w:sz w:val="24"/>
          <w:szCs w:val="24"/>
        </w:rPr>
        <w:t xml:space="preserve">za ostale tekuće donacije u naravi koje se odnose na poklone </w:t>
      </w:r>
      <w:r w:rsidR="00C03552">
        <w:rPr>
          <w:rFonts w:ascii="Times New Roman" w:hAnsi="Times New Roman" w:cs="Times New Roman"/>
          <w:sz w:val="24"/>
          <w:szCs w:val="24"/>
        </w:rPr>
        <w:t>nagrađenim studentima</w:t>
      </w:r>
      <w:r w:rsidR="000C0866">
        <w:rPr>
          <w:rFonts w:ascii="Times New Roman" w:hAnsi="Times New Roman" w:cs="Times New Roman"/>
          <w:sz w:val="24"/>
          <w:szCs w:val="24"/>
        </w:rPr>
        <w:t xml:space="preserve"> iznos od 1.558 EUR</w:t>
      </w:r>
      <w:r w:rsidRPr="00AB0246">
        <w:rPr>
          <w:rFonts w:ascii="Times New Roman" w:hAnsi="Times New Roman" w:cs="Times New Roman"/>
          <w:sz w:val="24"/>
          <w:szCs w:val="24"/>
        </w:rPr>
        <w:t>, za ulaganje u tuđu imovinu u prostor bivše tvornice Torpedo gdje se nalazi edukativna radionica Fakulteta</w:t>
      </w:r>
      <w:r w:rsidR="000C0866">
        <w:rPr>
          <w:rFonts w:ascii="Times New Roman" w:hAnsi="Times New Roman" w:cs="Times New Roman"/>
          <w:sz w:val="24"/>
          <w:szCs w:val="24"/>
        </w:rPr>
        <w:t xml:space="preserve"> iznos od 2.498 EUR</w:t>
      </w:r>
      <w:r w:rsidRPr="00AB0246">
        <w:rPr>
          <w:rFonts w:ascii="Times New Roman" w:hAnsi="Times New Roman" w:cs="Times New Roman"/>
          <w:sz w:val="24"/>
          <w:szCs w:val="24"/>
        </w:rPr>
        <w:t>, za nabavu i zamjenu dotrajalog uredskog namještaja i računalne opreme</w:t>
      </w:r>
      <w:r w:rsidR="000C0866">
        <w:rPr>
          <w:rFonts w:ascii="Times New Roman" w:hAnsi="Times New Roman" w:cs="Times New Roman"/>
          <w:sz w:val="24"/>
          <w:szCs w:val="24"/>
        </w:rPr>
        <w:t xml:space="preserve"> iznos od 26.754 EUR</w:t>
      </w:r>
      <w:r w:rsidRPr="00AB0246">
        <w:rPr>
          <w:rFonts w:ascii="Times New Roman" w:hAnsi="Times New Roman" w:cs="Times New Roman"/>
          <w:sz w:val="24"/>
          <w:szCs w:val="24"/>
        </w:rPr>
        <w:t xml:space="preserve">, nabavu laboratorijske opreme </w:t>
      </w:r>
      <w:r w:rsidR="000C0866">
        <w:rPr>
          <w:rFonts w:ascii="Times New Roman" w:hAnsi="Times New Roman" w:cs="Times New Roman"/>
          <w:sz w:val="24"/>
          <w:szCs w:val="24"/>
        </w:rPr>
        <w:t>iznos od 20.757 EUR</w:t>
      </w:r>
      <w:r w:rsidRPr="00AB0246">
        <w:rPr>
          <w:rFonts w:ascii="Times New Roman" w:hAnsi="Times New Roman" w:cs="Times New Roman"/>
          <w:sz w:val="24"/>
          <w:szCs w:val="24"/>
        </w:rPr>
        <w:t>,</w:t>
      </w:r>
      <w:r w:rsidR="000C0866">
        <w:rPr>
          <w:rFonts w:ascii="Times New Roman" w:hAnsi="Times New Roman" w:cs="Times New Roman"/>
          <w:sz w:val="24"/>
          <w:szCs w:val="24"/>
        </w:rPr>
        <w:t xml:space="preserve"> za nabavu knjiga iznos od 5.680 EUR</w:t>
      </w:r>
      <w:r w:rsidRPr="00AB0246">
        <w:rPr>
          <w:rFonts w:ascii="Times New Roman" w:hAnsi="Times New Roman" w:cs="Times New Roman"/>
          <w:sz w:val="24"/>
          <w:szCs w:val="24"/>
        </w:rPr>
        <w:t xml:space="preserve"> te preostalih </w:t>
      </w:r>
      <w:r w:rsidR="00C03552">
        <w:rPr>
          <w:rFonts w:ascii="Times New Roman" w:hAnsi="Times New Roman" w:cs="Times New Roman"/>
          <w:sz w:val="24"/>
          <w:szCs w:val="24"/>
        </w:rPr>
        <w:t>6.532</w:t>
      </w:r>
      <w:r w:rsidRPr="00AB0246">
        <w:rPr>
          <w:rFonts w:ascii="Times New Roman" w:hAnsi="Times New Roman" w:cs="Times New Roman"/>
          <w:sz w:val="24"/>
          <w:szCs w:val="24"/>
        </w:rPr>
        <w:t xml:space="preserve"> EUR predstavljaju dodatna ulaganja na </w:t>
      </w:r>
      <w:r w:rsidRPr="00AB0246">
        <w:rPr>
          <w:rFonts w:ascii="Times New Roman" w:hAnsi="Times New Roman" w:cs="Times New Roman"/>
          <w:sz w:val="24"/>
          <w:szCs w:val="24"/>
        </w:rPr>
        <w:lastRenderedPageBreak/>
        <w:t>zgrad</w:t>
      </w:r>
      <w:r w:rsidR="0094410C">
        <w:rPr>
          <w:rFonts w:ascii="Times New Roman" w:hAnsi="Times New Roman" w:cs="Times New Roman"/>
          <w:sz w:val="24"/>
          <w:szCs w:val="24"/>
        </w:rPr>
        <w:t>i</w:t>
      </w:r>
      <w:r w:rsidRPr="00AB0246">
        <w:rPr>
          <w:rFonts w:ascii="Times New Roman" w:hAnsi="Times New Roman" w:cs="Times New Roman"/>
          <w:sz w:val="24"/>
          <w:szCs w:val="24"/>
        </w:rPr>
        <w:t xml:space="preserve"> Fakulteta. </w:t>
      </w:r>
      <w:r w:rsidR="00C878F3">
        <w:rPr>
          <w:rFonts w:ascii="Times New Roman" w:hAnsi="Times New Roman" w:cs="Times New Roman"/>
          <w:sz w:val="24"/>
          <w:szCs w:val="24"/>
        </w:rPr>
        <w:t>Sredstva iz izvora 51</w:t>
      </w:r>
      <w:r w:rsidR="000C0866">
        <w:rPr>
          <w:rFonts w:ascii="Times New Roman" w:hAnsi="Times New Roman" w:cs="Times New Roman"/>
          <w:sz w:val="24"/>
          <w:szCs w:val="24"/>
        </w:rPr>
        <w:t xml:space="preserve"> koja se odnose na sredstva pomoći EU koj</w:t>
      </w:r>
      <w:r w:rsidR="0094410C">
        <w:rPr>
          <w:rFonts w:ascii="Times New Roman" w:hAnsi="Times New Roman" w:cs="Times New Roman"/>
          <w:sz w:val="24"/>
          <w:szCs w:val="24"/>
        </w:rPr>
        <w:t>a</w:t>
      </w:r>
      <w:r w:rsidR="000C0866">
        <w:rPr>
          <w:rFonts w:ascii="Times New Roman" w:hAnsi="Times New Roman" w:cs="Times New Roman"/>
          <w:sz w:val="24"/>
          <w:szCs w:val="24"/>
        </w:rPr>
        <w:t xml:space="preserve"> su preostala jer su se </w:t>
      </w:r>
      <w:r w:rsidR="0094410C">
        <w:rPr>
          <w:rFonts w:ascii="Times New Roman" w:hAnsi="Times New Roman" w:cs="Times New Roman"/>
          <w:sz w:val="24"/>
          <w:szCs w:val="24"/>
        </w:rPr>
        <w:t xml:space="preserve">EU </w:t>
      </w:r>
      <w:r w:rsidR="000C0866">
        <w:rPr>
          <w:rFonts w:ascii="Times New Roman" w:hAnsi="Times New Roman" w:cs="Times New Roman"/>
          <w:sz w:val="24"/>
          <w:szCs w:val="24"/>
        </w:rPr>
        <w:t xml:space="preserve">projekti </w:t>
      </w:r>
      <w:proofErr w:type="spellStart"/>
      <w:r w:rsidR="000C0866">
        <w:rPr>
          <w:rFonts w:ascii="Times New Roman" w:hAnsi="Times New Roman" w:cs="Times New Roman"/>
          <w:sz w:val="24"/>
          <w:szCs w:val="24"/>
        </w:rPr>
        <w:t>predfinancirali</w:t>
      </w:r>
      <w:proofErr w:type="spellEnd"/>
      <w:r w:rsidR="000C0866">
        <w:rPr>
          <w:rFonts w:ascii="Times New Roman" w:hAnsi="Times New Roman" w:cs="Times New Roman"/>
          <w:sz w:val="24"/>
          <w:szCs w:val="24"/>
        </w:rPr>
        <w:t xml:space="preserve"> iz namjenskih prihoda školarina</w:t>
      </w:r>
      <w:r w:rsidR="0094410C">
        <w:rPr>
          <w:rFonts w:ascii="Times New Roman" w:hAnsi="Times New Roman" w:cs="Times New Roman"/>
          <w:sz w:val="24"/>
          <w:szCs w:val="24"/>
        </w:rPr>
        <w:t xml:space="preserve"> izvršena su </w:t>
      </w:r>
      <w:r w:rsidR="00C878F3">
        <w:rPr>
          <w:rFonts w:ascii="Times New Roman" w:hAnsi="Times New Roman" w:cs="Times New Roman"/>
          <w:sz w:val="24"/>
          <w:szCs w:val="24"/>
        </w:rPr>
        <w:t xml:space="preserve">u iznosu </w:t>
      </w:r>
      <w:r w:rsidR="000C0866">
        <w:rPr>
          <w:rFonts w:ascii="Times New Roman" w:hAnsi="Times New Roman" w:cs="Times New Roman"/>
          <w:sz w:val="24"/>
          <w:szCs w:val="24"/>
        </w:rPr>
        <w:t>353.165</w:t>
      </w:r>
      <w:r w:rsidR="00C878F3">
        <w:rPr>
          <w:rFonts w:ascii="Times New Roman" w:hAnsi="Times New Roman" w:cs="Times New Roman"/>
          <w:sz w:val="24"/>
          <w:szCs w:val="24"/>
        </w:rPr>
        <w:t xml:space="preserve"> EUR i odnose se na </w:t>
      </w:r>
      <w:r w:rsidR="000C0866">
        <w:rPr>
          <w:rFonts w:ascii="Times New Roman" w:hAnsi="Times New Roman" w:cs="Times New Roman"/>
          <w:sz w:val="24"/>
          <w:szCs w:val="24"/>
        </w:rPr>
        <w:t>62.942</w:t>
      </w:r>
      <w:r w:rsidR="00C878F3">
        <w:rPr>
          <w:rFonts w:ascii="Times New Roman" w:hAnsi="Times New Roman" w:cs="Times New Roman"/>
          <w:sz w:val="24"/>
          <w:szCs w:val="24"/>
        </w:rPr>
        <w:t xml:space="preserve"> EUR za rashode za zaposlene, </w:t>
      </w:r>
      <w:r w:rsidR="000C0866">
        <w:rPr>
          <w:rFonts w:ascii="Times New Roman" w:hAnsi="Times New Roman" w:cs="Times New Roman"/>
          <w:sz w:val="24"/>
          <w:szCs w:val="24"/>
        </w:rPr>
        <w:t>160.733</w:t>
      </w:r>
      <w:r w:rsidR="00C878F3">
        <w:rPr>
          <w:rFonts w:ascii="Times New Roman" w:hAnsi="Times New Roman" w:cs="Times New Roman"/>
          <w:sz w:val="24"/>
          <w:szCs w:val="24"/>
        </w:rPr>
        <w:t xml:space="preserve"> EUR za materijalne rashode, </w:t>
      </w:r>
      <w:r w:rsidR="000C0866">
        <w:rPr>
          <w:rFonts w:ascii="Times New Roman" w:hAnsi="Times New Roman" w:cs="Times New Roman"/>
          <w:sz w:val="24"/>
          <w:szCs w:val="24"/>
        </w:rPr>
        <w:t>66.962</w:t>
      </w:r>
      <w:r w:rsidR="00C878F3">
        <w:rPr>
          <w:rFonts w:ascii="Times New Roman" w:hAnsi="Times New Roman" w:cs="Times New Roman"/>
          <w:sz w:val="24"/>
          <w:szCs w:val="24"/>
        </w:rPr>
        <w:t xml:space="preserve"> EUR za ulaganje u tuđu imovinu s pravom korištenja – Torpedo i 3</w:t>
      </w:r>
      <w:r w:rsidR="000C0866">
        <w:rPr>
          <w:rFonts w:ascii="Times New Roman" w:hAnsi="Times New Roman" w:cs="Times New Roman"/>
          <w:sz w:val="24"/>
          <w:szCs w:val="24"/>
        </w:rPr>
        <w:t xml:space="preserve">2.526 </w:t>
      </w:r>
      <w:r w:rsidR="00C878F3">
        <w:rPr>
          <w:rFonts w:ascii="Times New Roman" w:hAnsi="Times New Roman" w:cs="Times New Roman"/>
          <w:sz w:val="24"/>
          <w:szCs w:val="24"/>
        </w:rPr>
        <w:t xml:space="preserve">EUR za rashode za nabavu nefinancijske imovine. </w:t>
      </w:r>
    </w:p>
    <w:p w:rsidR="00AB0246" w:rsidRDefault="00AB0246" w:rsidP="00AB0246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46" w:rsidRPr="00AB0246" w:rsidRDefault="00AB0246" w:rsidP="00AB024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>Poslijediplomski studij „Pomorstvo“</w:t>
      </w:r>
    </w:p>
    <w:p w:rsidR="00AB0246" w:rsidRPr="00AB0246" w:rsidRDefault="00AB0246" w:rsidP="00AB024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Na ovoj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="00AF461D">
        <w:rPr>
          <w:rFonts w:ascii="Times New Roman" w:hAnsi="Times New Roman" w:cs="Times New Roman"/>
          <w:sz w:val="24"/>
          <w:szCs w:val="24"/>
        </w:rPr>
        <w:t xml:space="preserve">izvršeni su rashodi </w:t>
      </w:r>
      <w:r w:rsidRPr="00AB0246">
        <w:rPr>
          <w:rFonts w:ascii="Times New Roman" w:hAnsi="Times New Roman" w:cs="Times New Roman"/>
          <w:sz w:val="24"/>
          <w:szCs w:val="24"/>
        </w:rPr>
        <w:t>za izvođenje poslijediplomskog studija „Pomorstvo“</w:t>
      </w:r>
      <w:r w:rsidR="00C878F3">
        <w:rPr>
          <w:rFonts w:ascii="Times New Roman" w:hAnsi="Times New Roman" w:cs="Times New Roman"/>
          <w:sz w:val="24"/>
          <w:szCs w:val="24"/>
        </w:rPr>
        <w:t xml:space="preserve">  u ukupnom iznosu </w:t>
      </w:r>
      <w:r w:rsidR="00AF461D">
        <w:rPr>
          <w:rFonts w:ascii="Times New Roman" w:hAnsi="Times New Roman" w:cs="Times New Roman"/>
          <w:sz w:val="24"/>
          <w:szCs w:val="24"/>
        </w:rPr>
        <w:t>30.531</w:t>
      </w:r>
      <w:r w:rsidR="00C878F3">
        <w:rPr>
          <w:rFonts w:ascii="Times New Roman" w:hAnsi="Times New Roman" w:cs="Times New Roman"/>
          <w:sz w:val="24"/>
          <w:szCs w:val="24"/>
        </w:rPr>
        <w:t xml:space="preserve"> EUR</w:t>
      </w:r>
      <w:r w:rsidRPr="00AB0246">
        <w:rPr>
          <w:rFonts w:ascii="Times New Roman" w:hAnsi="Times New Roman" w:cs="Times New Roman"/>
          <w:sz w:val="24"/>
          <w:szCs w:val="24"/>
        </w:rPr>
        <w:t xml:space="preserve">. Od ukupno </w:t>
      </w:r>
      <w:r w:rsidR="00AF461D">
        <w:rPr>
          <w:rFonts w:ascii="Times New Roman" w:hAnsi="Times New Roman" w:cs="Times New Roman"/>
          <w:sz w:val="24"/>
          <w:szCs w:val="24"/>
        </w:rPr>
        <w:t>utrošenih</w:t>
      </w:r>
      <w:r w:rsidRPr="00AB0246">
        <w:rPr>
          <w:rFonts w:ascii="Times New Roman" w:hAnsi="Times New Roman" w:cs="Times New Roman"/>
          <w:sz w:val="24"/>
          <w:szCs w:val="24"/>
        </w:rPr>
        <w:t xml:space="preserve"> sredstava</w:t>
      </w:r>
      <w:r w:rsidR="00FC14A7">
        <w:rPr>
          <w:rFonts w:ascii="Times New Roman" w:hAnsi="Times New Roman" w:cs="Times New Roman"/>
          <w:sz w:val="24"/>
          <w:szCs w:val="24"/>
        </w:rPr>
        <w:t>,</w:t>
      </w:r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="00C878F3">
        <w:rPr>
          <w:rFonts w:ascii="Times New Roman" w:hAnsi="Times New Roman" w:cs="Times New Roman"/>
          <w:sz w:val="24"/>
          <w:szCs w:val="24"/>
        </w:rPr>
        <w:t>6</w:t>
      </w:r>
      <w:r w:rsidR="00AF461D">
        <w:rPr>
          <w:rFonts w:ascii="Times New Roman" w:hAnsi="Times New Roman" w:cs="Times New Roman"/>
          <w:sz w:val="24"/>
          <w:szCs w:val="24"/>
        </w:rPr>
        <w:t>4,3</w:t>
      </w:r>
      <w:r w:rsidRPr="00AB0246">
        <w:rPr>
          <w:rFonts w:ascii="Times New Roman" w:hAnsi="Times New Roman" w:cs="Times New Roman"/>
          <w:sz w:val="24"/>
          <w:szCs w:val="24"/>
        </w:rPr>
        <w:t>% odnos</w:t>
      </w:r>
      <w:r w:rsidR="00AF461D">
        <w:rPr>
          <w:rFonts w:ascii="Times New Roman" w:hAnsi="Times New Roman" w:cs="Times New Roman"/>
          <w:sz w:val="24"/>
          <w:szCs w:val="24"/>
        </w:rPr>
        <w:t>i</w:t>
      </w:r>
      <w:r w:rsidRPr="00AB0246">
        <w:rPr>
          <w:rFonts w:ascii="Times New Roman" w:hAnsi="Times New Roman" w:cs="Times New Roman"/>
          <w:sz w:val="24"/>
          <w:szCs w:val="24"/>
        </w:rPr>
        <w:t xml:space="preserve"> se na rashode za zaposlene koji sudjeluju u izvođenju studija. Preostalih</w:t>
      </w:r>
      <w:r w:rsidR="00C878F3">
        <w:rPr>
          <w:rFonts w:ascii="Times New Roman" w:hAnsi="Times New Roman" w:cs="Times New Roman"/>
          <w:sz w:val="24"/>
          <w:szCs w:val="24"/>
        </w:rPr>
        <w:t xml:space="preserve"> 3</w:t>
      </w:r>
      <w:r w:rsidR="00AF461D">
        <w:rPr>
          <w:rFonts w:ascii="Times New Roman" w:hAnsi="Times New Roman" w:cs="Times New Roman"/>
          <w:sz w:val="24"/>
          <w:szCs w:val="24"/>
        </w:rPr>
        <w:t>5,7</w:t>
      </w:r>
      <w:r w:rsidR="00C878F3">
        <w:rPr>
          <w:rFonts w:ascii="Times New Roman" w:hAnsi="Times New Roman" w:cs="Times New Roman"/>
          <w:sz w:val="24"/>
          <w:szCs w:val="24"/>
        </w:rPr>
        <w:t>%</w:t>
      </w:r>
      <w:r w:rsidRPr="00AB0246">
        <w:rPr>
          <w:rFonts w:ascii="Times New Roman" w:hAnsi="Times New Roman" w:cs="Times New Roman"/>
          <w:sz w:val="24"/>
          <w:szCs w:val="24"/>
        </w:rPr>
        <w:t xml:space="preserve"> su sredstva za vanjske suradnike na studiju, ostale usluge i reprezentaciju. Ova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se financira iz izvora 43</w:t>
      </w:r>
      <w:r w:rsidR="00AF461D">
        <w:rPr>
          <w:rFonts w:ascii="Times New Roman" w:hAnsi="Times New Roman" w:cs="Times New Roman"/>
          <w:sz w:val="24"/>
          <w:szCs w:val="24"/>
        </w:rPr>
        <w:t>, odnosno školarina doktorskog studija</w:t>
      </w:r>
      <w:r w:rsidRPr="00AB0246">
        <w:rPr>
          <w:rFonts w:ascii="Times New Roman" w:hAnsi="Times New Roman" w:cs="Times New Roman"/>
          <w:sz w:val="24"/>
          <w:szCs w:val="24"/>
        </w:rPr>
        <w:t>.</w:t>
      </w:r>
    </w:p>
    <w:p w:rsidR="00AB0246" w:rsidRPr="00AB0246" w:rsidRDefault="00AB0246" w:rsidP="00AB0246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 xml:space="preserve">Programi cjeloživotnog obrazovanja - tečajevi i izobrazba za pomorce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U okviru ove aktivnosti </w:t>
      </w:r>
      <w:r w:rsidR="00AF461D">
        <w:rPr>
          <w:rFonts w:ascii="Times New Roman" w:hAnsi="Times New Roman" w:cs="Times New Roman"/>
          <w:sz w:val="24"/>
          <w:szCs w:val="24"/>
        </w:rPr>
        <w:t xml:space="preserve">izvršeni su rashodi </w:t>
      </w:r>
      <w:r w:rsidRPr="00AB024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F461D">
        <w:rPr>
          <w:rFonts w:ascii="Times New Roman" w:hAnsi="Times New Roman" w:cs="Times New Roman"/>
          <w:sz w:val="24"/>
          <w:szCs w:val="24"/>
        </w:rPr>
        <w:t>187.783</w:t>
      </w:r>
      <w:r w:rsidRPr="00AB0246">
        <w:rPr>
          <w:rFonts w:ascii="Times New Roman" w:hAnsi="Times New Roman" w:cs="Times New Roman"/>
          <w:sz w:val="24"/>
          <w:szCs w:val="24"/>
        </w:rPr>
        <w:t xml:space="preserve"> EUR</w:t>
      </w:r>
      <w:r w:rsidR="00AF461D">
        <w:rPr>
          <w:rFonts w:ascii="Times New Roman" w:hAnsi="Times New Roman" w:cs="Times New Roman"/>
          <w:sz w:val="24"/>
          <w:szCs w:val="24"/>
        </w:rPr>
        <w:t>. Na</w:t>
      </w:r>
      <w:r w:rsidRPr="00AB0246">
        <w:rPr>
          <w:rFonts w:ascii="Times New Roman" w:hAnsi="Times New Roman" w:cs="Times New Roman"/>
          <w:sz w:val="24"/>
          <w:szCs w:val="24"/>
        </w:rPr>
        <w:t xml:space="preserve"> rashode za zaposlene koji izvode tečajeve i programe izobrazbe</w:t>
      </w:r>
      <w:r w:rsidR="00257E49">
        <w:rPr>
          <w:rFonts w:ascii="Times New Roman" w:hAnsi="Times New Roman" w:cs="Times New Roman"/>
          <w:sz w:val="24"/>
          <w:szCs w:val="24"/>
        </w:rPr>
        <w:t xml:space="preserve"> </w:t>
      </w:r>
      <w:r w:rsidR="00AF461D">
        <w:rPr>
          <w:rFonts w:ascii="Times New Roman" w:hAnsi="Times New Roman" w:cs="Times New Roman"/>
          <w:sz w:val="24"/>
          <w:szCs w:val="24"/>
        </w:rPr>
        <w:t xml:space="preserve">utrošen je iznos </w:t>
      </w:r>
      <w:r w:rsidR="00257E49">
        <w:rPr>
          <w:rFonts w:ascii="Times New Roman" w:hAnsi="Times New Roman" w:cs="Times New Roman"/>
          <w:sz w:val="24"/>
          <w:szCs w:val="24"/>
        </w:rPr>
        <w:t xml:space="preserve">od </w:t>
      </w:r>
      <w:r w:rsidR="00AF461D">
        <w:rPr>
          <w:rFonts w:ascii="Times New Roman" w:hAnsi="Times New Roman" w:cs="Times New Roman"/>
          <w:sz w:val="24"/>
          <w:szCs w:val="24"/>
        </w:rPr>
        <w:t>140.492</w:t>
      </w:r>
      <w:r w:rsidR="00257E49">
        <w:rPr>
          <w:rFonts w:ascii="Times New Roman" w:hAnsi="Times New Roman" w:cs="Times New Roman"/>
          <w:sz w:val="24"/>
          <w:szCs w:val="24"/>
        </w:rPr>
        <w:t xml:space="preserve"> EUR. </w:t>
      </w:r>
      <w:r w:rsidRPr="00AB024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financira se iz izvora 31</w:t>
      </w:r>
      <w:r w:rsidR="00AF461D">
        <w:rPr>
          <w:rFonts w:ascii="Times New Roman" w:hAnsi="Times New Roman" w:cs="Times New Roman"/>
          <w:sz w:val="24"/>
          <w:szCs w:val="24"/>
        </w:rPr>
        <w:t>, odnosno od prihoda ostvarenih od tečajeva i programa izobrazbe</w:t>
      </w:r>
      <w:r w:rsidRPr="00AB0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147319407"/>
      <w:r w:rsidRPr="00AB0246">
        <w:rPr>
          <w:rFonts w:ascii="Times New Roman" w:hAnsi="Times New Roman" w:cs="Times New Roman"/>
          <w:b/>
          <w:sz w:val="24"/>
          <w:szCs w:val="24"/>
        </w:rPr>
        <w:t xml:space="preserve">Stručna djelatnost – projekti za gospodarstvo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U okviru ove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="00257E49">
        <w:rPr>
          <w:rFonts w:ascii="Times New Roman" w:hAnsi="Times New Roman" w:cs="Times New Roman"/>
          <w:sz w:val="24"/>
          <w:szCs w:val="24"/>
        </w:rPr>
        <w:t xml:space="preserve">koja je </w:t>
      </w:r>
      <w:r w:rsidR="00AF461D">
        <w:rPr>
          <w:rFonts w:ascii="Times New Roman" w:hAnsi="Times New Roman" w:cs="Times New Roman"/>
          <w:sz w:val="24"/>
          <w:szCs w:val="24"/>
        </w:rPr>
        <w:t>izvršena</w:t>
      </w:r>
      <w:r w:rsidR="00257E49">
        <w:rPr>
          <w:rFonts w:ascii="Times New Roman" w:hAnsi="Times New Roman" w:cs="Times New Roman"/>
          <w:sz w:val="24"/>
          <w:szCs w:val="24"/>
        </w:rPr>
        <w:t xml:space="preserve"> u iznosu </w:t>
      </w:r>
      <w:r w:rsidR="00AF461D">
        <w:rPr>
          <w:rFonts w:ascii="Times New Roman" w:hAnsi="Times New Roman" w:cs="Times New Roman"/>
          <w:sz w:val="24"/>
          <w:szCs w:val="24"/>
        </w:rPr>
        <w:t xml:space="preserve">333.727 </w:t>
      </w:r>
      <w:r w:rsidR="00257E49">
        <w:rPr>
          <w:rFonts w:ascii="Times New Roman" w:hAnsi="Times New Roman" w:cs="Times New Roman"/>
          <w:sz w:val="24"/>
          <w:szCs w:val="24"/>
        </w:rPr>
        <w:t>E</w:t>
      </w:r>
      <w:r w:rsidR="00AF461D">
        <w:rPr>
          <w:rFonts w:ascii="Times New Roman" w:hAnsi="Times New Roman" w:cs="Times New Roman"/>
          <w:sz w:val="24"/>
          <w:szCs w:val="24"/>
        </w:rPr>
        <w:t>U</w:t>
      </w:r>
      <w:r w:rsidR="00257E49">
        <w:rPr>
          <w:rFonts w:ascii="Times New Roman" w:hAnsi="Times New Roman" w:cs="Times New Roman"/>
          <w:sz w:val="24"/>
          <w:szCs w:val="24"/>
        </w:rPr>
        <w:t>R,</w:t>
      </w:r>
      <w:r w:rsidR="0094410C">
        <w:rPr>
          <w:rFonts w:ascii="Times New Roman" w:hAnsi="Times New Roman" w:cs="Times New Roman"/>
          <w:sz w:val="24"/>
          <w:szCs w:val="24"/>
        </w:rPr>
        <w:t xml:space="preserve"> od toga </w:t>
      </w:r>
      <w:r w:rsidR="00257E49">
        <w:rPr>
          <w:rFonts w:ascii="Times New Roman" w:hAnsi="Times New Roman" w:cs="Times New Roman"/>
          <w:sz w:val="24"/>
          <w:szCs w:val="24"/>
        </w:rPr>
        <w:t xml:space="preserve"> 9</w:t>
      </w:r>
      <w:r w:rsidR="00AF461D">
        <w:rPr>
          <w:rFonts w:ascii="Times New Roman" w:hAnsi="Times New Roman" w:cs="Times New Roman"/>
          <w:sz w:val="24"/>
          <w:szCs w:val="24"/>
        </w:rPr>
        <w:t>8,90</w:t>
      </w:r>
      <w:r w:rsidRPr="00AB0246">
        <w:rPr>
          <w:rFonts w:ascii="Times New Roman" w:hAnsi="Times New Roman" w:cs="Times New Roman"/>
          <w:sz w:val="24"/>
          <w:szCs w:val="24"/>
        </w:rPr>
        <w:t xml:space="preserve">% </w:t>
      </w:r>
      <w:r w:rsidR="00AF461D">
        <w:rPr>
          <w:rFonts w:ascii="Times New Roman" w:hAnsi="Times New Roman" w:cs="Times New Roman"/>
          <w:sz w:val="24"/>
          <w:szCs w:val="24"/>
        </w:rPr>
        <w:t xml:space="preserve">troškova odnosi </w:t>
      </w:r>
      <w:r w:rsidRPr="00AB0246">
        <w:rPr>
          <w:rFonts w:ascii="Times New Roman" w:hAnsi="Times New Roman" w:cs="Times New Roman"/>
          <w:sz w:val="24"/>
          <w:szCs w:val="24"/>
        </w:rPr>
        <w:t xml:space="preserve">se na intelektualne usluge, odnosno isplatu honorara za zaposlenima koji rade stručnim projektima izrade elaborata i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maritimnih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studija za privredu. Fakultet zadržava 15% ostvarenih prihoda od</w:t>
      </w:r>
      <w:r w:rsidR="00257E49">
        <w:rPr>
          <w:rFonts w:ascii="Times New Roman" w:hAnsi="Times New Roman" w:cs="Times New Roman"/>
          <w:sz w:val="24"/>
          <w:szCs w:val="24"/>
        </w:rPr>
        <w:t xml:space="preserve"> svih stručnih</w:t>
      </w:r>
      <w:r w:rsidRPr="00AB0246">
        <w:rPr>
          <w:rFonts w:ascii="Times New Roman" w:hAnsi="Times New Roman" w:cs="Times New Roman"/>
          <w:sz w:val="24"/>
          <w:szCs w:val="24"/>
        </w:rPr>
        <w:t xml:space="preserve"> projekata. Ova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financira se iz izvora 31.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>Rad Studentskog zbora</w:t>
      </w:r>
    </w:p>
    <w:p w:rsid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Studentski zbor nema pravnu osobnost, a njegova aktivnost se financira iz izvora 43, 52 i 61 u skladu s </w:t>
      </w:r>
      <w:r w:rsidR="00AF461D">
        <w:rPr>
          <w:rFonts w:ascii="Times New Roman" w:hAnsi="Times New Roman" w:cs="Times New Roman"/>
          <w:sz w:val="24"/>
          <w:szCs w:val="24"/>
        </w:rPr>
        <w:t xml:space="preserve">ostvarenim </w:t>
      </w:r>
      <w:r w:rsidRPr="00AB0246">
        <w:rPr>
          <w:rFonts w:ascii="Times New Roman" w:hAnsi="Times New Roman" w:cs="Times New Roman"/>
          <w:sz w:val="24"/>
          <w:szCs w:val="24"/>
        </w:rPr>
        <w:t xml:space="preserve">prihodima. Dio troškova se financira iz školarina, a dio doznačenim sredstvima Sveučilišta u Rijeci i donacijama od trgovačkih društava i JLPRS. </w:t>
      </w:r>
      <w:r w:rsidR="00AF461D">
        <w:rPr>
          <w:rFonts w:ascii="Times New Roman" w:hAnsi="Times New Roman" w:cs="Times New Roman"/>
          <w:sz w:val="24"/>
          <w:szCs w:val="24"/>
        </w:rPr>
        <w:t>Izvršeni rashodi odnose se</w:t>
      </w:r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="0094410C">
        <w:rPr>
          <w:rFonts w:ascii="Times New Roman" w:hAnsi="Times New Roman" w:cs="Times New Roman"/>
          <w:sz w:val="24"/>
          <w:szCs w:val="24"/>
        </w:rPr>
        <w:t>na troškove vezane z</w:t>
      </w:r>
      <w:r w:rsidRPr="00AB0246">
        <w:rPr>
          <w:rFonts w:ascii="Times New Roman" w:hAnsi="Times New Roman" w:cs="Times New Roman"/>
          <w:sz w:val="24"/>
          <w:szCs w:val="24"/>
        </w:rPr>
        <w:t xml:space="preserve">a održavanje Brucošijade i Bala pomoraca, za intelektualne usluge, zakupnine i reprezentaciju. Ukupan iznos </w:t>
      </w:r>
      <w:r w:rsidR="00AF461D">
        <w:rPr>
          <w:rFonts w:ascii="Times New Roman" w:hAnsi="Times New Roman" w:cs="Times New Roman"/>
          <w:sz w:val="24"/>
          <w:szCs w:val="24"/>
        </w:rPr>
        <w:t>troškova</w:t>
      </w:r>
      <w:r w:rsidRPr="00AB0246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246">
        <w:rPr>
          <w:rFonts w:ascii="Times New Roman" w:hAnsi="Times New Roman" w:cs="Times New Roman"/>
          <w:sz w:val="24"/>
          <w:szCs w:val="24"/>
        </w:rPr>
        <w:t xml:space="preserve">. iznosi </w:t>
      </w:r>
      <w:r w:rsidR="00AF461D">
        <w:rPr>
          <w:rFonts w:ascii="Times New Roman" w:hAnsi="Times New Roman" w:cs="Times New Roman"/>
          <w:sz w:val="24"/>
          <w:szCs w:val="24"/>
        </w:rPr>
        <w:t>17.081</w:t>
      </w:r>
      <w:r w:rsidR="00257E49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 xml:space="preserve">Programi znanstveno-istraživačke djelatnosti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U okviru ove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financiraju se programi znanstveno-istraživačke djelatnosti temeljem Pravilnika o poticanju znanstvene aktivnosti Fakulteta, te implementacija 20 UNIRI-ZIP znanstvenih projekata ukupne vrijednosti 210.523 EUR kao i UNIRI stimulativne potpore. </w:t>
      </w:r>
      <w:r w:rsidR="00AF461D">
        <w:rPr>
          <w:rFonts w:ascii="Times New Roman" w:hAnsi="Times New Roman" w:cs="Times New Roman"/>
          <w:sz w:val="24"/>
          <w:szCs w:val="24"/>
        </w:rPr>
        <w:t>Za UNIRI-ZIP projekte utrošeno je</w:t>
      </w:r>
      <w:r w:rsidRPr="00AB0246">
        <w:rPr>
          <w:rFonts w:ascii="Times New Roman" w:hAnsi="Times New Roman" w:cs="Times New Roman"/>
          <w:sz w:val="24"/>
          <w:szCs w:val="24"/>
        </w:rPr>
        <w:t xml:space="preserve"> 202</w:t>
      </w:r>
      <w:r w:rsidR="00257E49">
        <w:rPr>
          <w:rFonts w:ascii="Times New Roman" w:hAnsi="Times New Roman" w:cs="Times New Roman"/>
          <w:sz w:val="24"/>
          <w:szCs w:val="24"/>
        </w:rPr>
        <w:t>3</w:t>
      </w:r>
      <w:r w:rsidRPr="00AB0246">
        <w:rPr>
          <w:rFonts w:ascii="Times New Roman" w:hAnsi="Times New Roman" w:cs="Times New Roman"/>
          <w:sz w:val="24"/>
          <w:szCs w:val="24"/>
        </w:rPr>
        <w:t>. godini</w:t>
      </w:r>
      <w:r w:rsidR="00AF461D">
        <w:rPr>
          <w:rFonts w:ascii="Times New Roman" w:hAnsi="Times New Roman" w:cs="Times New Roman"/>
          <w:sz w:val="24"/>
          <w:szCs w:val="24"/>
        </w:rPr>
        <w:t xml:space="preserve"> ukupno 19.122 EUR</w:t>
      </w:r>
      <w:r w:rsidRPr="00AB0246">
        <w:rPr>
          <w:rFonts w:ascii="Times New Roman" w:hAnsi="Times New Roman" w:cs="Times New Roman"/>
          <w:sz w:val="24"/>
          <w:szCs w:val="24"/>
        </w:rPr>
        <w:t xml:space="preserve">.  Ova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financira se iz izvora 43, 51 i 52.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 xml:space="preserve">Projekt Hrvatske zaklade za znanost Engleske riječi u hrvatskome jeziku: identifikacija, </w:t>
      </w:r>
      <w:proofErr w:type="spellStart"/>
      <w:r w:rsidRPr="00AB0246">
        <w:rPr>
          <w:rFonts w:ascii="Times New Roman" w:hAnsi="Times New Roman" w:cs="Times New Roman"/>
          <w:b/>
          <w:sz w:val="24"/>
          <w:szCs w:val="24"/>
        </w:rPr>
        <w:t>afektivnosemantičko</w:t>
      </w:r>
      <w:proofErr w:type="spellEnd"/>
      <w:r w:rsidRPr="00AB0246">
        <w:rPr>
          <w:rFonts w:ascii="Times New Roman" w:hAnsi="Times New Roman" w:cs="Times New Roman"/>
          <w:b/>
          <w:sz w:val="24"/>
          <w:szCs w:val="24"/>
        </w:rPr>
        <w:t xml:space="preserve"> normiranje i ispitivanje kognitivne obrade bihevioralnim i </w:t>
      </w:r>
      <w:proofErr w:type="spellStart"/>
      <w:r w:rsidRPr="00AB0246">
        <w:rPr>
          <w:rFonts w:ascii="Times New Roman" w:hAnsi="Times New Roman" w:cs="Times New Roman"/>
          <w:b/>
          <w:sz w:val="24"/>
          <w:szCs w:val="24"/>
        </w:rPr>
        <w:t>neuroznanstvenim</w:t>
      </w:r>
      <w:proofErr w:type="spellEnd"/>
      <w:r w:rsidRPr="00AB0246">
        <w:rPr>
          <w:rFonts w:ascii="Times New Roman" w:hAnsi="Times New Roman" w:cs="Times New Roman"/>
          <w:b/>
          <w:sz w:val="24"/>
          <w:szCs w:val="24"/>
        </w:rPr>
        <w:t xml:space="preserve"> metodama</w:t>
      </w:r>
      <w:r w:rsidRPr="00AB0246">
        <w:rPr>
          <w:rFonts w:ascii="Times New Roman" w:hAnsi="Times New Roman" w:cs="Times New Roman"/>
          <w:b/>
          <w:sz w:val="24"/>
          <w:szCs w:val="24"/>
        </w:rPr>
        <w:cr/>
      </w:r>
      <w:r w:rsidR="00A132E9">
        <w:rPr>
          <w:rFonts w:ascii="Times New Roman" w:hAnsi="Times New Roman" w:cs="Times New Roman"/>
          <w:sz w:val="24"/>
          <w:szCs w:val="24"/>
        </w:rPr>
        <w:t>Unutar ove aktivnosti osiguran je nastavak</w:t>
      </w:r>
      <w:r w:rsidR="00257E49" w:rsidRPr="00257E49">
        <w:rPr>
          <w:rFonts w:ascii="Times New Roman" w:hAnsi="Times New Roman" w:cs="Times New Roman"/>
          <w:sz w:val="24"/>
          <w:szCs w:val="24"/>
        </w:rPr>
        <w:t xml:space="preserve"> provođenj</w:t>
      </w:r>
      <w:r w:rsidR="00A132E9">
        <w:rPr>
          <w:rFonts w:ascii="Times New Roman" w:hAnsi="Times New Roman" w:cs="Times New Roman"/>
          <w:sz w:val="24"/>
          <w:szCs w:val="24"/>
        </w:rPr>
        <w:t>a projekta koji traje do veljače 2025. godine</w:t>
      </w:r>
      <w:r w:rsidR="00257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246">
        <w:rPr>
          <w:rFonts w:ascii="Times New Roman" w:hAnsi="Times New Roman" w:cs="Times New Roman"/>
          <w:sz w:val="24"/>
          <w:szCs w:val="24"/>
        </w:rPr>
        <w:t xml:space="preserve">U listopadu 2023. je prestao radni odnos zaposlenog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poslijedoktoranda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Pr="00AB0246">
        <w:rPr>
          <w:rFonts w:ascii="Times New Roman" w:hAnsi="Times New Roman" w:cs="Times New Roman"/>
          <w:sz w:val="24"/>
          <w:szCs w:val="24"/>
        </w:rPr>
        <w:lastRenderedPageBreak/>
        <w:t>na teret projekta</w:t>
      </w:r>
      <w:r w:rsidR="00A132E9">
        <w:rPr>
          <w:rFonts w:ascii="Times New Roman" w:hAnsi="Times New Roman" w:cs="Times New Roman"/>
          <w:sz w:val="24"/>
          <w:szCs w:val="24"/>
        </w:rPr>
        <w:t>, a ukupno je izvršeno 29.776 EUR rashoda</w:t>
      </w:r>
      <w:r w:rsidR="00257E49">
        <w:rPr>
          <w:rFonts w:ascii="Times New Roman" w:hAnsi="Times New Roman" w:cs="Times New Roman"/>
          <w:sz w:val="24"/>
          <w:szCs w:val="24"/>
        </w:rPr>
        <w:t>.</w:t>
      </w:r>
      <w:r w:rsidRPr="00AB024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se financira iz izvora 52</w:t>
      </w:r>
      <w:r w:rsidR="00A132E9">
        <w:rPr>
          <w:rFonts w:ascii="Times New Roman" w:hAnsi="Times New Roman" w:cs="Times New Roman"/>
          <w:sz w:val="24"/>
          <w:szCs w:val="24"/>
        </w:rPr>
        <w:t>, odnosno sredstava koja doznači Hrvatska zaklada za znanost</w:t>
      </w:r>
      <w:r w:rsidRPr="00AB0246">
        <w:rPr>
          <w:rFonts w:ascii="Times New Roman" w:hAnsi="Times New Roman" w:cs="Times New Roman"/>
          <w:b/>
          <w:sz w:val="24"/>
          <w:szCs w:val="24"/>
        </w:rPr>
        <w:t>.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>Izdavanje znanstvenih udžbenika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U okviru ove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podaktivnosti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  <w:r w:rsidR="00A132E9">
        <w:rPr>
          <w:rFonts w:ascii="Times New Roman" w:hAnsi="Times New Roman" w:cs="Times New Roman"/>
          <w:sz w:val="24"/>
          <w:szCs w:val="24"/>
        </w:rPr>
        <w:t>izvršeno</w:t>
      </w:r>
      <w:r w:rsidRPr="00AB0246">
        <w:rPr>
          <w:rFonts w:ascii="Times New Roman" w:hAnsi="Times New Roman" w:cs="Times New Roman"/>
          <w:sz w:val="24"/>
          <w:szCs w:val="24"/>
        </w:rPr>
        <w:t xml:space="preserve"> je </w:t>
      </w:r>
      <w:r w:rsidR="00A132E9">
        <w:rPr>
          <w:rFonts w:ascii="Times New Roman" w:hAnsi="Times New Roman" w:cs="Times New Roman"/>
          <w:sz w:val="24"/>
          <w:szCs w:val="24"/>
        </w:rPr>
        <w:t>2.426</w:t>
      </w:r>
      <w:r w:rsidRPr="00AB0246">
        <w:rPr>
          <w:rFonts w:ascii="Times New Roman" w:hAnsi="Times New Roman" w:cs="Times New Roman"/>
          <w:sz w:val="24"/>
          <w:szCs w:val="24"/>
        </w:rPr>
        <w:t xml:space="preserve"> EUR za financiranje materijalnih rashoda koji se odnose na usluge tiskanja i lektoriranja izdanja udžbenika Fakulteta</w:t>
      </w:r>
      <w:r w:rsidR="00CB0C87">
        <w:rPr>
          <w:rFonts w:ascii="Times New Roman" w:hAnsi="Times New Roman" w:cs="Times New Roman"/>
          <w:sz w:val="24"/>
          <w:szCs w:val="24"/>
        </w:rPr>
        <w:t xml:space="preserve"> -</w:t>
      </w:r>
      <w:r w:rsidR="00257E49">
        <w:rPr>
          <w:rFonts w:ascii="Times New Roman" w:hAnsi="Times New Roman" w:cs="Times New Roman"/>
          <w:sz w:val="24"/>
          <w:szCs w:val="24"/>
        </w:rPr>
        <w:t xml:space="preserve"> Primjena metoda korpusne lingvistike u </w:t>
      </w:r>
      <w:r w:rsidR="00CB0C87">
        <w:rPr>
          <w:rFonts w:ascii="Times New Roman" w:hAnsi="Times New Roman" w:cs="Times New Roman"/>
          <w:sz w:val="24"/>
          <w:szCs w:val="24"/>
        </w:rPr>
        <w:t>jezikoslovnim</w:t>
      </w:r>
      <w:r w:rsidR="00257E49">
        <w:rPr>
          <w:rFonts w:ascii="Times New Roman" w:hAnsi="Times New Roman" w:cs="Times New Roman"/>
          <w:sz w:val="24"/>
          <w:szCs w:val="24"/>
        </w:rPr>
        <w:t xml:space="preserve"> </w:t>
      </w:r>
      <w:r w:rsidR="00CB0C87">
        <w:rPr>
          <w:rFonts w:ascii="Times New Roman" w:hAnsi="Times New Roman" w:cs="Times New Roman"/>
          <w:sz w:val="24"/>
          <w:szCs w:val="24"/>
        </w:rPr>
        <w:t>istraživanjima</w:t>
      </w:r>
      <w:r w:rsidR="00257E49">
        <w:rPr>
          <w:rFonts w:ascii="Times New Roman" w:hAnsi="Times New Roman" w:cs="Times New Roman"/>
          <w:sz w:val="24"/>
          <w:szCs w:val="24"/>
        </w:rPr>
        <w:t xml:space="preserve"> M. Borucinsky  </w:t>
      </w:r>
      <w:r w:rsidR="00CB0C87">
        <w:rPr>
          <w:rFonts w:ascii="Times New Roman" w:hAnsi="Times New Roman" w:cs="Times New Roman"/>
          <w:sz w:val="24"/>
          <w:szCs w:val="24"/>
        </w:rPr>
        <w:t xml:space="preserve">i </w:t>
      </w:r>
      <w:r w:rsidR="00257E49">
        <w:rPr>
          <w:rFonts w:ascii="Times New Roman" w:hAnsi="Times New Roman" w:cs="Times New Roman"/>
          <w:sz w:val="24"/>
          <w:szCs w:val="24"/>
        </w:rPr>
        <w:t>Ekonomika brodarstva A</w:t>
      </w:r>
      <w:r w:rsidR="00CB0C87">
        <w:rPr>
          <w:rFonts w:ascii="Times New Roman" w:hAnsi="Times New Roman" w:cs="Times New Roman"/>
          <w:sz w:val="24"/>
          <w:szCs w:val="24"/>
        </w:rPr>
        <w:t xml:space="preserve">. </w:t>
      </w:r>
      <w:r w:rsidR="00257E49">
        <w:rPr>
          <w:rFonts w:ascii="Times New Roman" w:hAnsi="Times New Roman" w:cs="Times New Roman"/>
          <w:sz w:val="24"/>
          <w:szCs w:val="24"/>
        </w:rPr>
        <w:t>Jugović, J</w:t>
      </w:r>
      <w:r w:rsidR="00CB0C87">
        <w:rPr>
          <w:rFonts w:ascii="Times New Roman" w:hAnsi="Times New Roman" w:cs="Times New Roman"/>
          <w:sz w:val="24"/>
          <w:szCs w:val="24"/>
        </w:rPr>
        <w:t>.</w:t>
      </w:r>
      <w:r w:rsidR="0025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49">
        <w:rPr>
          <w:rFonts w:ascii="Times New Roman" w:hAnsi="Times New Roman" w:cs="Times New Roman"/>
          <w:sz w:val="24"/>
          <w:szCs w:val="24"/>
        </w:rPr>
        <w:t>Bukša</w:t>
      </w:r>
      <w:proofErr w:type="spellEnd"/>
      <w:r w:rsidR="00257E4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257E49">
        <w:rPr>
          <w:rFonts w:ascii="Times New Roman" w:hAnsi="Times New Roman" w:cs="Times New Roman"/>
          <w:sz w:val="24"/>
          <w:szCs w:val="24"/>
        </w:rPr>
        <w:t>Zane</w:t>
      </w:r>
      <w:proofErr w:type="spellEnd"/>
      <w:r w:rsidR="00257E49">
        <w:rPr>
          <w:rFonts w:ascii="Times New Roman" w:hAnsi="Times New Roman" w:cs="Times New Roman"/>
          <w:sz w:val="24"/>
          <w:szCs w:val="24"/>
        </w:rPr>
        <w:t xml:space="preserve">. </w:t>
      </w:r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46" w:rsidRPr="00AB0246" w:rsidRDefault="00AB0246" w:rsidP="00AB0246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tabs>
          <w:tab w:val="left" w:pos="11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>Izdavanje znanstvenih časopisa</w:t>
      </w:r>
    </w:p>
    <w:p w:rsidR="00AB0246" w:rsidRPr="00AB0246" w:rsidRDefault="00AB0246" w:rsidP="00AB024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Pr="00AB0246">
        <w:rPr>
          <w:rFonts w:ascii="Times New Roman" w:hAnsi="Times New Roman" w:cs="Times New Roman"/>
          <w:sz w:val="24"/>
          <w:szCs w:val="24"/>
        </w:rPr>
        <w:t xml:space="preserve"> pokriva izdavanje znanstvenog časopisa „Pomorstvo“ </w:t>
      </w:r>
      <w:r w:rsidR="00812941">
        <w:rPr>
          <w:rFonts w:ascii="Times New Roman" w:hAnsi="Times New Roman" w:cs="Times New Roman"/>
          <w:sz w:val="24"/>
          <w:szCs w:val="24"/>
        </w:rPr>
        <w:t xml:space="preserve">i </w:t>
      </w:r>
      <w:r w:rsidR="00A132E9">
        <w:rPr>
          <w:rFonts w:ascii="Times New Roman" w:hAnsi="Times New Roman" w:cs="Times New Roman"/>
          <w:sz w:val="24"/>
          <w:szCs w:val="24"/>
        </w:rPr>
        <w:t>utrošeno je ukupno 5.264</w:t>
      </w:r>
      <w:r w:rsidRPr="00AB0246">
        <w:rPr>
          <w:rFonts w:ascii="Times New Roman" w:hAnsi="Times New Roman" w:cs="Times New Roman"/>
          <w:sz w:val="24"/>
          <w:szCs w:val="24"/>
        </w:rPr>
        <w:t xml:space="preserve"> EUR</w:t>
      </w:r>
      <w:r w:rsidR="00A132E9">
        <w:rPr>
          <w:rFonts w:ascii="Times New Roman" w:hAnsi="Times New Roman" w:cs="Times New Roman"/>
          <w:sz w:val="24"/>
          <w:szCs w:val="24"/>
        </w:rPr>
        <w:t>.  Utrošena</w:t>
      </w:r>
      <w:r w:rsidRPr="00AB0246">
        <w:rPr>
          <w:rFonts w:ascii="Times New Roman" w:hAnsi="Times New Roman" w:cs="Times New Roman"/>
          <w:sz w:val="24"/>
          <w:szCs w:val="24"/>
        </w:rPr>
        <w:t xml:space="preserve"> sredstva se odnose na troškove tiskanja i grafičke obrade teksta, te lektoriranja</w:t>
      </w:r>
      <w:r w:rsidR="00A132E9">
        <w:rPr>
          <w:rFonts w:ascii="Times New Roman" w:hAnsi="Times New Roman" w:cs="Times New Roman"/>
          <w:sz w:val="24"/>
          <w:szCs w:val="24"/>
        </w:rPr>
        <w:t>, kao i nabavu računalne opreme za časopis</w:t>
      </w:r>
      <w:r w:rsidRPr="00AB0246">
        <w:rPr>
          <w:rFonts w:ascii="Times New Roman" w:hAnsi="Times New Roman" w:cs="Times New Roman"/>
          <w:sz w:val="24"/>
          <w:szCs w:val="24"/>
        </w:rPr>
        <w:t>. Ova aktivnost financira se iz izvora  52 jer dio sredstava osigurava nadležno ministarstvo.</w:t>
      </w:r>
    </w:p>
    <w:p w:rsidR="00AB0246" w:rsidRPr="00AB0246" w:rsidRDefault="00AB0246" w:rsidP="00AB024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>Organiziranje i održavanje znanstvenih skupova</w:t>
      </w:r>
    </w:p>
    <w:p w:rsidR="00AB0246" w:rsidRPr="00AB0246" w:rsidRDefault="00395B9A" w:rsidP="00AB024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AB0246" w:rsidRPr="00AB0246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 u 2023. godini sadrži troškove vezane za</w:t>
      </w:r>
      <w:r w:rsidR="00AB0246" w:rsidRPr="00AB0246">
        <w:rPr>
          <w:rFonts w:ascii="Times New Roman" w:hAnsi="Times New Roman" w:cs="Times New Roman"/>
          <w:sz w:val="24"/>
          <w:szCs w:val="24"/>
        </w:rPr>
        <w:t xml:space="preserve"> održavanje GNSS konferencije </w:t>
      </w:r>
      <w:r w:rsidR="008129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12941">
        <w:rPr>
          <w:rFonts w:ascii="Times New Roman" w:hAnsi="Times New Roman" w:cs="Times New Roman"/>
          <w:sz w:val="24"/>
          <w:szCs w:val="24"/>
        </w:rPr>
        <w:t>Baški</w:t>
      </w:r>
      <w:proofErr w:type="spellEnd"/>
      <w:r w:rsidR="00812941">
        <w:rPr>
          <w:rFonts w:ascii="Times New Roman" w:hAnsi="Times New Roman" w:cs="Times New Roman"/>
          <w:sz w:val="24"/>
          <w:szCs w:val="24"/>
        </w:rPr>
        <w:t xml:space="preserve"> </w:t>
      </w:r>
      <w:r w:rsidR="00AB0246" w:rsidRPr="00AB0246">
        <w:rPr>
          <w:rFonts w:ascii="Times New Roman" w:hAnsi="Times New Roman" w:cs="Times New Roman"/>
          <w:sz w:val="24"/>
          <w:szCs w:val="24"/>
        </w:rPr>
        <w:t xml:space="preserve">koju dijelom financira i nadležno ministarstvo. Ukupno je </w:t>
      </w:r>
      <w:r w:rsidR="00A132E9">
        <w:rPr>
          <w:rFonts w:ascii="Times New Roman" w:hAnsi="Times New Roman" w:cs="Times New Roman"/>
          <w:sz w:val="24"/>
          <w:szCs w:val="24"/>
        </w:rPr>
        <w:t xml:space="preserve"> utrošeno 5.112 </w:t>
      </w:r>
      <w:r w:rsidR="00AB0246" w:rsidRPr="00AB0246">
        <w:rPr>
          <w:rFonts w:ascii="Times New Roman" w:hAnsi="Times New Roman" w:cs="Times New Roman"/>
          <w:sz w:val="24"/>
          <w:szCs w:val="24"/>
        </w:rPr>
        <w:t xml:space="preserve">EUR. Dio troškova konferencija pokriva se iz sponzorstava. Ova </w:t>
      </w:r>
      <w:proofErr w:type="spellStart"/>
      <w:r w:rsidR="00AB0246" w:rsidRPr="00AB0246">
        <w:rPr>
          <w:rFonts w:ascii="Times New Roman" w:hAnsi="Times New Roman" w:cs="Times New Roman"/>
          <w:sz w:val="24"/>
          <w:szCs w:val="24"/>
        </w:rPr>
        <w:t>podaktivnost</w:t>
      </w:r>
      <w:proofErr w:type="spellEnd"/>
      <w:r w:rsidR="00AB0246" w:rsidRPr="00AB0246">
        <w:rPr>
          <w:rFonts w:ascii="Times New Roman" w:hAnsi="Times New Roman" w:cs="Times New Roman"/>
          <w:sz w:val="24"/>
          <w:szCs w:val="24"/>
        </w:rPr>
        <w:t xml:space="preserve"> financira se iz izvora 31, 43 i 52. </w:t>
      </w:r>
    </w:p>
    <w:p w:rsidR="00AB0246" w:rsidRPr="00AB0246" w:rsidRDefault="00AB0246" w:rsidP="00AB024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246" w:rsidRPr="00AB0246" w:rsidRDefault="00AB0246" w:rsidP="00AB0246">
      <w:pPr>
        <w:numPr>
          <w:ilvl w:val="0"/>
          <w:numId w:val="24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246">
        <w:rPr>
          <w:rFonts w:ascii="Times New Roman" w:hAnsi="Times New Roman" w:cs="Times New Roman"/>
          <w:b/>
          <w:sz w:val="24"/>
          <w:szCs w:val="24"/>
        </w:rPr>
        <w:t xml:space="preserve">Ostale nespomenute </w:t>
      </w:r>
      <w:proofErr w:type="spellStart"/>
      <w:r w:rsidRPr="00AB0246">
        <w:rPr>
          <w:rFonts w:ascii="Times New Roman" w:hAnsi="Times New Roman" w:cs="Times New Roman"/>
          <w:b/>
          <w:sz w:val="24"/>
          <w:szCs w:val="24"/>
        </w:rPr>
        <w:t>podaktivnosti</w:t>
      </w:r>
      <w:proofErr w:type="spellEnd"/>
      <w:r w:rsidRPr="00AB0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246" w:rsidRPr="00AB0246" w:rsidRDefault="00A132E9" w:rsidP="00AB024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0246" w:rsidRPr="00AB0246">
        <w:rPr>
          <w:rFonts w:ascii="Times New Roman" w:hAnsi="Times New Roman" w:cs="Times New Roman"/>
          <w:sz w:val="24"/>
          <w:szCs w:val="24"/>
        </w:rPr>
        <w:t xml:space="preserve">stale nespomenute aktivnosti </w:t>
      </w:r>
      <w:r>
        <w:rPr>
          <w:rFonts w:ascii="Times New Roman" w:hAnsi="Times New Roman" w:cs="Times New Roman"/>
          <w:sz w:val="24"/>
          <w:szCs w:val="24"/>
        </w:rPr>
        <w:t>uključuju</w:t>
      </w:r>
      <w:r w:rsidR="00AB0246" w:rsidRPr="00AB0246">
        <w:rPr>
          <w:rFonts w:ascii="Times New Roman" w:hAnsi="Times New Roman" w:cs="Times New Roman"/>
          <w:sz w:val="24"/>
          <w:szCs w:val="24"/>
        </w:rPr>
        <w:t xml:space="preserve"> trošenje vlastitih sredstava iz izvora 31 koji preostanu od obavljanja poslova na tržištu, kao i trošenje sredstava programskih ugovora u slučaju da ih Sveučilište doznači putem izvora 52. Također, u ovoj aktivnosti se</w:t>
      </w:r>
      <w:r w:rsidR="00812941">
        <w:rPr>
          <w:rFonts w:ascii="Times New Roman" w:hAnsi="Times New Roman" w:cs="Times New Roman"/>
          <w:sz w:val="24"/>
          <w:szCs w:val="24"/>
        </w:rPr>
        <w:t xml:space="preserve"> izvršavaju</w:t>
      </w:r>
      <w:r w:rsidR="00AB0246" w:rsidRPr="00AB0246">
        <w:rPr>
          <w:rFonts w:ascii="Times New Roman" w:hAnsi="Times New Roman" w:cs="Times New Roman"/>
          <w:sz w:val="24"/>
          <w:szCs w:val="24"/>
        </w:rPr>
        <w:t xml:space="preserve"> donacije sredstava koje Fakultet dobije od trgovačkih društava za potrebe redovitog poslovanja, te rashodi koji se financiraju iz prihoda od prodaje imovine, odnosno izvora 71 (prodaja stanova za zaposlene). </w:t>
      </w:r>
    </w:p>
    <w:p w:rsidR="00AB0246" w:rsidRPr="00AB0246" w:rsidRDefault="00AB0246" w:rsidP="00AB024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46">
        <w:rPr>
          <w:rFonts w:ascii="Times New Roman" w:hAnsi="Times New Roman" w:cs="Times New Roman"/>
          <w:sz w:val="24"/>
          <w:szCs w:val="24"/>
        </w:rPr>
        <w:t xml:space="preserve">Ukupno je na ovoj </w:t>
      </w:r>
      <w:r w:rsidR="00A132E9">
        <w:rPr>
          <w:rFonts w:ascii="Times New Roman" w:hAnsi="Times New Roman" w:cs="Times New Roman"/>
          <w:sz w:val="24"/>
          <w:szCs w:val="24"/>
        </w:rPr>
        <w:t>aktivnosti izvršeno 322.026</w:t>
      </w:r>
      <w:r w:rsidRPr="00AB0246">
        <w:rPr>
          <w:rFonts w:ascii="Times New Roman" w:hAnsi="Times New Roman" w:cs="Times New Roman"/>
          <w:sz w:val="24"/>
          <w:szCs w:val="24"/>
        </w:rPr>
        <w:t xml:space="preserve"> EUR.</w:t>
      </w:r>
      <w:r w:rsidR="00A132E9">
        <w:rPr>
          <w:rFonts w:ascii="Times New Roman" w:hAnsi="Times New Roman" w:cs="Times New Roman"/>
          <w:sz w:val="24"/>
          <w:szCs w:val="24"/>
        </w:rPr>
        <w:t xml:space="preserve"> Najveći iznos utrošen je za financiranje rashoda za zaposlene u iznosu 222.252 EUR.</w:t>
      </w:r>
      <w:r w:rsidRPr="00AB024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:rsidR="00333241" w:rsidRPr="001A5B94" w:rsidRDefault="00333241" w:rsidP="00333241">
      <w:pPr>
        <w:pStyle w:val="Odlomakpopisa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6CE" w:rsidRPr="001A5B94" w:rsidRDefault="008876CE" w:rsidP="008876C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Hlk53752717"/>
      <w:r w:rsidRPr="001A5B94">
        <w:rPr>
          <w:rFonts w:ascii="Times New Roman" w:hAnsi="Times New Roman" w:cs="Times New Roman"/>
          <w:b/>
          <w:sz w:val="28"/>
          <w:szCs w:val="28"/>
        </w:rPr>
        <w:t>A679072 EU projekti Sveučilišta u Rijeci (iz evidencijskih prihoda)</w:t>
      </w:r>
    </w:p>
    <w:bookmarkEnd w:id="14"/>
    <w:p w:rsidR="00AB0246" w:rsidRPr="00AB0246" w:rsidRDefault="00AB0246" w:rsidP="00AB0246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251"/>
        <w:gridCol w:w="1251"/>
        <w:gridCol w:w="1251"/>
        <w:gridCol w:w="1250"/>
        <w:gridCol w:w="1251"/>
        <w:gridCol w:w="1165"/>
      </w:tblGrid>
      <w:tr w:rsidR="00390036" w:rsidRPr="001A5B94" w:rsidTr="00D02775">
        <w:tc>
          <w:tcPr>
            <w:tcW w:w="1643" w:type="dxa"/>
            <w:shd w:val="clear" w:color="auto" w:fill="D0CECE" w:themeFill="background2" w:themeFillShade="E6"/>
          </w:tcPr>
          <w:p w:rsidR="00390036" w:rsidRPr="001A5B94" w:rsidRDefault="00390036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58280907"/>
          </w:p>
          <w:p w:rsidR="00390036" w:rsidRPr="001A5B94" w:rsidRDefault="00390036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1A5B94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390036" w:rsidRDefault="00390036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90036" w:rsidRPr="001A5B94" w:rsidTr="00D02775">
        <w:trPr>
          <w:trHeight w:val="58"/>
        </w:trPr>
        <w:tc>
          <w:tcPr>
            <w:tcW w:w="1643" w:type="dxa"/>
            <w:shd w:val="clear" w:color="auto" w:fill="D0CECE" w:themeFill="background2" w:themeFillShade="E6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390036" w:rsidRPr="00390036" w:rsidRDefault="00390036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0036" w:rsidRPr="001A5B94" w:rsidTr="00D02775">
        <w:tc>
          <w:tcPr>
            <w:tcW w:w="1643" w:type="dxa"/>
          </w:tcPr>
          <w:p w:rsidR="00390036" w:rsidRPr="001A5B94" w:rsidRDefault="00390036" w:rsidP="0039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A679072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1.329.117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204.384</w:t>
            </w:r>
          </w:p>
        </w:tc>
        <w:tc>
          <w:tcPr>
            <w:tcW w:w="1251" w:type="dxa"/>
          </w:tcPr>
          <w:p w:rsidR="00390036" w:rsidRPr="001A5B94" w:rsidRDefault="00390036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373.901</w:t>
            </w:r>
          </w:p>
        </w:tc>
        <w:tc>
          <w:tcPr>
            <w:tcW w:w="1250" w:type="dxa"/>
          </w:tcPr>
          <w:p w:rsidR="00390036" w:rsidRPr="001A5B94" w:rsidRDefault="00415937" w:rsidP="0039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365.830</w:t>
            </w:r>
          </w:p>
        </w:tc>
        <w:tc>
          <w:tcPr>
            <w:tcW w:w="1251" w:type="dxa"/>
          </w:tcPr>
          <w:p w:rsidR="00390036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165" w:type="dxa"/>
          </w:tcPr>
          <w:p w:rsidR="00390036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</w:tr>
    </w:tbl>
    <w:bookmarkEnd w:id="15"/>
    <w:p w:rsidR="000D7E33" w:rsidRPr="001A5B94" w:rsidRDefault="000D7E33" w:rsidP="000D7E33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Ova aktivnost sastoji se od </w:t>
      </w:r>
      <w:r w:rsidR="006B3F90" w:rsidRPr="001A5B94">
        <w:rPr>
          <w:rFonts w:ascii="Times New Roman" w:hAnsi="Times New Roman" w:cs="Times New Roman"/>
          <w:i/>
          <w:sz w:val="24"/>
          <w:szCs w:val="24"/>
        </w:rPr>
        <w:t xml:space="preserve">troškova implementacije </w:t>
      </w:r>
      <w:r w:rsidR="00107352" w:rsidRPr="001A5B94">
        <w:rPr>
          <w:rFonts w:ascii="Times New Roman" w:hAnsi="Times New Roman" w:cs="Times New Roman"/>
          <w:i/>
          <w:sz w:val="24"/>
          <w:szCs w:val="24"/>
        </w:rPr>
        <w:t xml:space="preserve">sljedećih 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EU </w:t>
      </w:r>
      <w:proofErr w:type="spellStart"/>
      <w:r w:rsidR="00B4760A" w:rsidRPr="001A5B94">
        <w:rPr>
          <w:rFonts w:ascii="Times New Roman" w:hAnsi="Times New Roman" w:cs="Times New Roman"/>
          <w:i/>
          <w:sz w:val="24"/>
          <w:szCs w:val="24"/>
        </w:rPr>
        <w:t>pod</w:t>
      </w:r>
      <w:r w:rsidRPr="001A5B94">
        <w:rPr>
          <w:rFonts w:ascii="Times New Roman" w:hAnsi="Times New Roman" w:cs="Times New Roman"/>
          <w:i/>
          <w:sz w:val="24"/>
          <w:szCs w:val="24"/>
        </w:rPr>
        <w:t>projekata</w:t>
      </w:r>
      <w:proofErr w:type="spellEnd"/>
      <w:r w:rsidRPr="001A5B94">
        <w:rPr>
          <w:rFonts w:ascii="Times New Roman" w:hAnsi="Times New Roman" w:cs="Times New Roman"/>
          <w:i/>
          <w:sz w:val="24"/>
          <w:szCs w:val="24"/>
        </w:rPr>
        <w:t>:</w:t>
      </w:r>
    </w:p>
    <w:p w:rsidR="00651EF8" w:rsidRDefault="0032667E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>A679072.</w:t>
      </w:r>
      <w:r w:rsidR="00651EF8"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>Novi podprojekt (DigiMar Erasmus+)</w:t>
      </w:r>
      <w:r w:rsidR="00651EF8" w:rsidRPr="003266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- </w:t>
      </w:r>
      <w:r w:rsidR="00196F1A" w:rsidRPr="003266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Digital Education for Maritime Communication</w:t>
      </w:r>
      <w:bookmarkStart w:id="16" w:name="_Hlk146620192"/>
    </w:p>
    <w:bookmarkEnd w:id="16"/>
    <w:p w:rsidR="00651EF8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A679072.188 (Horizon Europe) SafeNav - Safe Navigation </w:t>
      </w:r>
    </w:p>
    <w:p w:rsidR="00651EF8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A679072.175 (Horizon Europe) INNO2MARE - Strengthening the capacity for excellence of Slovenian and Croatian innovation ecosystems to support the digital and green transitions of maritime regions  </w:t>
      </w:r>
      <w:bookmarkStart w:id="17" w:name="_Hlk146621339"/>
    </w:p>
    <w:bookmarkEnd w:id="17"/>
    <w:p w:rsidR="00A132E9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A679072.187 (Horizon Europe) Healthy Sailing - Prevention, mitigation, management of infectious diseases on cruise ships and passenger ferries </w:t>
      </w:r>
    </w:p>
    <w:p w:rsidR="00651EF8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A679072. Novi podprojekt (Horizon Europe) ATLANTIS – Improved Resilience of Critical Infrastructures Against Large Scale Transnational and Systemic Risks, </w:t>
      </w:r>
    </w:p>
    <w:p w:rsidR="00651EF8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>A679072. Novi podprojekt (</w:t>
      </w:r>
      <w:r w:rsidRPr="0032667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EMFAF-2023-BlueCareers</w:t>
      </w: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Next Blue Generation </w:t>
      </w:r>
    </w:p>
    <w:p w:rsidR="00651EF8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A679072. Novi podprojekt (Erasmus+) UMTMS – The Usage of Multipurpose Tasks in Maritime Simulation </w:t>
      </w:r>
    </w:p>
    <w:p w:rsidR="00651EF8" w:rsidRPr="0032667E" w:rsidRDefault="00651EF8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A679072. Novi podprojekt (Erasmus+) MASK - Marine Robots for Better Sea Knowledge Awareness </w:t>
      </w:r>
    </w:p>
    <w:p w:rsidR="00A132E9" w:rsidRPr="001963EE" w:rsidRDefault="00A132E9" w:rsidP="0006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1EF8" w:rsidRDefault="008A55E5" w:rsidP="008A55E5">
      <w:pPr>
        <w:tabs>
          <w:tab w:val="left" w:pos="6828"/>
        </w:tabs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2023. godine okončani su sljedeći EU p</w:t>
      </w:r>
      <w:r w:rsidR="005F2EAE" w:rsidRPr="008A55E5">
        <w:rPr>
          <w:rFonts w:ascii="Times New Roman" w:hAnsi="Times New Roman" w:cs="Times New Roman"/>
          <w:sz w:val="24"/>
          <w:szCs w:val="24"/>
        </w:rPr>
        <w:t>rojekti</w:t>
      </w:r>
      <w:r w:rsidRPr="008A5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E5">
        <w:rPr>
          <w:rFonts w:ascii="Times New Roman" w:hAnsi="Times New Roman" w:cs="Times New Roman"/>
          <w:sz w:val="24"/>
          <w:szCs w:val="24"/>
        </w:rPr>
        <w:t>CEKOM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A55E5">
        <w:rPr>
          <w:rFonts w:ascii="Times New Roman" w:hAnsi="Times New Roman" w:cs="Times New Roman"/>
          <w:sz w:val="24"/>
          <w:szCs w:val="24"/>
        </w:rPr>
        <w:t>EUREKA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5E5">
        <w:rPr>
          <w:rFonts w:ascii="Times New Roman" w:hAnsi="Times New Roman" w:cs="Times New Roman"/>
          <w:sz w:val="24"/>
          <w:szCs w:val="24"/>
        </w:rPr>
        <w:t>SKILLSEA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5E5">
        <w:rPr>
          <w:rFonts w:ascii="Times New Roman" w:hAnsi="Times New Roman" w:cs="Times New Roman"/>
          <w:sz w:val="24"/>
          <w:szCs w:val="24"/>
        </w:rPr>
        <w:t>MIMOSA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5E5">
        <w:rPr>
          <w:rFonts w:ascii="Times New Roman" w:hAnsi="Times New Roman" w:cs="Times New Roman"/>
          <w:sz w:val="24"/>
          <w:szCs w:val="24"/>
        </w:rPr>
        <w:t>FRAMESPORT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5E5">
        <w:rPr>
          <w:rFonts w:ascii="Times New Roman" w:hAnsi="Times New Roman" w:cs="Times New Roman"/>
          <w:sz w:val="24"/>
          <w:szCs w:val="24"/>
        </w:rPr>
        <w:t>DIGSEA</w:t>
      </w:r>
      <w:r w:rsidR="00FC14A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55E5">
        <w:rPr>
          <w:rFonts w:ascii="Times New Roman" w:hAnsi="Times New Roman" w:cs="Times New Roman"/>
          <w:sz w:val="24"/>
          <w:szCs w:val="24"/>
        </w:rPr>
        <w:t>ProtectAS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2E9" w:rsidRPr="001A5B94" w:rsidRDefault="00A132E9" w:rsidP="008A55E5">
      <w:pPr>
        <w:tabs>
          <w:tab w:val="left" w:pos="68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Detaljan prikaz aktivnih projekata iz ove aktivnosti naveden je </w:t>
      </w:r>
      <w:r w:rsidR="001F49F6">
        <w:rPr>
          <w:rFonts w:ascii="Times New Roman" w:hAnsi="Times New Roman" w:cs="Times New Roman"/>
          <w:b/>
          <w:sz w:val="24"/>
          <w:szCs w:val="24"/>
        </w:rPr>
        <w:t>u</w:t>
      </w:r>
      <w:r w:rsidR="0032667E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zvještaju </w:t>
      </w:r>
      <w:r w:rsidR="00CF3A75">
        <w:rPr>
          <w:rFonts w:ascii="Times New Roman" w:hAnsi="Times New Roman" w:cs="Times New Roman"/>
          <w:b/>
          <w:sz w:val="24"/>
          <w:szCs w:val="24"/>
        </w:rPr>
        <w:t>o korištenju sredstava fondova Europske unije.</w:t>
      </w:r>
    </w:p>
    <w:p w:rsidR="005D6F04" w:rsidRPr="001A5B94" w:rsidRDefault="005D6F04" w:rsidP="005D6F0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4">
        <w:rPr>
          <w:rFonts w:ascii="Times New Roman" w:hAnsi="Times New Roman" w:cs="Times New Roman"/>
          <w:b/>
          <w:sz w:val="28"/>
          <w:szCs w:val="28"/>
        </w:rPr>
        <w:t xml:space="preserve">K679106 OP Učinkoviti ljudski potencijali 2014. – </w:t>
      </w:r>
      <w:r w:rsidR="00C16900" w:rsidRPr="001A5B94">
        <w:rPr>
          <w:rFonts w:ascii="Times New Roman" w:hAnsi="Times New Roman" w:cs="Times New Roman"/>
          <w:b/>
          <w:sz w:val="28"/>
          <w:szCs w:val="28"/>
        </w:rPr>
        <w:t>2021</w:t>
      </w:r>
      <w:r w:rsidRPr="001A5B94">
        <w:rPr>
          <w:rFonts w:ascii="Times New Roman" w:hAnsi="Times New Roman" w:cs="Times New Roman"/>
          <w:b/>
          <w:sz w:val="28"/>
          <w:szCs w:val="28"/>
        </w:rPr>
        <w:t>. Prioritet 3</w:t>
      </w:r>
    </w:p>
    <w:p w:rsidR="00415937" w:rsidRPr="00415937" w:rsidRDefault="00415937" w:rsidP="004159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251"/>
        <w:gridCol w:w="1251"/>
        <w:gridCol w:w="1251"/>
        <w:gridCol w:w="1250"/>
        <w:gridCol w:w="1251"/>
        <w:gridCol w:w="1165"/>
      </w:tblGrid>
      <w:tr w:rsidR="00415937" w:rsidRPr="001A5B94" w:rsidTr="00D02775">
        <w:tc>
          <w:tcPr>
            <w:tcW w:w="1643" w:type="dxa"/>
            <w:shd w:val="clear" w:color="auto" w:fill="D0CECE" w:themeFill="background2" w:themeFillShade="E6"/>
          </w:tcPr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37" w:rsidRPr="001A5B94" w:rsidRDefault="00415937" w:rsidP="00D0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Izvršenje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2023.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1A5B94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415937" w:rsidRDefault="00415937" w:rsidP="00D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036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415937" w:rsidRPr="001A5B94" w:rsidTr="00D02775">
        <w:trPr>
          <w:trHeight w:val="58"/>
        </w:trPr>
        <w:tc>
          <w:tcPr>
            <w:tcW w:w="1643" w:type="dxa"/>
            <w:shd w:val="clear" w:color="auto" w:fill="D0CECE" w:themeFill="background2" w:themeFillShade="E6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shd w:val="clear" w:color="auto" w:fill="D0CECE" w:themeFill="background2" w:themeFillShade="E6"/>
            <w:vAlign w:val="center"/>
          </w:tcPr>
          <w:p w:rsidR="00415937" w:rsidRPr="00390036" w:rsidRDefault="00415937" w:rsidP="00D0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5937" w:rsidRPr="001A5B94" w:rsidTr="00D02775">
        <w:tc>
          <w:tcPr>
            <w:tcW w:w="1643" w:type="dxa"/>
          </w:tcPr>
          <w:p w:rsidR="00415937" w:rsidRPr="001A5B94" w:rsidRDefault="00415937" w:rsidP="0041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K679106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237.819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126.146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94.962</w:t>
            </w:r>
          </w:p>
        </w:tc>
        <w:tc>
          <w:tcPr>
            <w:tcW w:w="1250" w:type="dxa"/>
          </w:tcPr>
          <w:p w:rsidR="00415937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94.962</w:t>
            </w:r>
          </w:p>
        </w:tc>
        <w:tc>
          <w:tcPr>
            <w:tcW w:w="1251" w:type="dxa"/>
          </w:tcPr>
          <w:p w:rsidR="00415937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165" w:type="dxa"/>
          </w:tcPr>
          <w:p w:rsidR="00415937" w:rsidRPr="001A5B94" w:rsidRDefault="00415937" w:rsidP="00415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15937" w:rsidRDefault="00415937" w:rsidP="00415937">
      <w:pPr>
        <w:pStyle w:val="Odlomakpopis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CA9" w:rsidRPr="001A5B94" w:rsidRDefault="00004CA9" w:rsidP="00004CA9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Ova aktivnost sastoji se od</w:t>
      </w:r>
      <w:r w:rsidR="008A55E5">
        <w:rPr>
          <w:rFonts w:ascii="Times New Roman" w:hAnsi="Times New Roman" w:cs="Times New Roman"/>
          <w:i/>
          <w:sz w:val="24"/>
          <w:szCs w:val="24"/>
        </w:rPr>
        <w:t xml:space="preserve"> jednog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F90" w:rsidRPr="001A5B94">
        <w:rPr>
          <w:rFonts w:ascii="Times New Roman" w:hAnsi="Times New Roman" w:cs="Times New Roman"/>
          <w:i/>
          <w:sz w:val="24"/>
          <w:szCs w:val="24"/>
        </w:rPr>
        <w:t>HKO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projek</w:t>
      </w:r>
      <w:r w:rsidR="006B3F90" w:rsidRPr="001A5B94">
        <w:rPr>
          <w:rFonts w:ascii="Times New Roman" w:hAnsi="Times New Roman" w:cs="Times New Roman"/>
          <w:i/>
          <w:sz w:val="24"/>
          <w:szCs w:val="24"/>
        </w:rPr>
        <w:t>ta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na kojima je Pomorski </w:t>
      </w:r>
      <w:r w:rsidR="006B3F90" w:rsidRPr="001A5B94">
        <w:rPr>
          <w:rFonts w:ascii="Times New Roman" w:hAnsi="Times New Roman" w:cs="Times New Roman"/>
          <w:i/>
          <w:sz w:val="24"/>
          <w:szCs w:val="24"/>
        </w:rPr>
        <w:t>fakultet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Rijeka glavni part</w:t>
      </w:r>
      <w:r w:rsidR="00B53F75">
        <w:rPr>
          <w:rFonts w:ascii="Times New Roman" w:hAnsi="Times New Roman" w:cs="Times New Roman"/>
          <w:i/>
          <w:sz w:val="24"/>
          <w:szCs w:val="24"/>
        </w:rPr>
        <w:t>er, projekt</w:t>
      </w:r>
      <w:r w:rsidR="008A55E5">
        <w:rPr>
          <w:rFonts w:ascii="Times New Roman" w:hAnsi="Times New Roman" w:cs="Times New Roman"/>
          <w:i/>
          <w:sz w:val="24"/>
          <w:szCs w:val="24"/>
        </w:rPr>
        <w:t>a</w:t>
      </w:r>
      <w:r w:rsidR="00B53F75">
        <w:rPr>
          <w:rFonts w:ascii="Times New Roman" w:hAnsi="Times New Roman" w:cs="Times New Roman"/>
          <w:i/>
          <w:sz w:val="24"/>
          <w:szCs w:val="24"/>
        </w:rPr>
        <w:t xml:space="preserve"> Pandora koji </w:t>
      </w:r>
      <w:r w:rsidR="008A55E5">
        <w:rPr>
          <w:rFonts w:ascii="Times New Roman" w:hAnsi="Times New Roman" w:cs="Times New Roman"/>
          <w:i/>
          <w:sz w:val="24"/>
          <w:szCs w:val="24"/>
        </w:rPr>
        <w:t xml:space="preserve">je završio </w:t>
      </w:r>
      <w:r w:rsidR="00504B74">
        <w:rPr>
          <w:rFonts w:ascii="Times New Roman" w:hAnsi="Times New Roman" w:cs="Times New Roman"/>
          <w:i/>
          <w:sz w:val="24"/>
          <w:szCs w:val="24"/>
        </w:rPr>
        <w:t>u prvom kvartalu ove</w:t>
      </w:r>
      <w:r w:rsidR="008A55E5">
        <w:rPr>
          <w:rFonts w:ascii="Times New Roman" w:hAnsi="Times New Roman" w:cs="Times New Roman"/>
          <w:i/>
          <w:sz w:val="24"/>
          <w:szCs w:val="24"/>
        </w:rPr>
        <w:t xml:space="preserve"> godine</w:t>
      </w:r>
      <w:r w:rsidR="00B53F75">
        <w:rPr>
          <w:rFonts w:ascii="Times New Roman" w:hAnsi="Times New Roman" w:cs="Times New Roman"/>
          <w:i/>
          <w:sz w:val="24"/>
          <w:szCs w:val="24"/>
        </w:rPr>
        <w:t>.</w:t>
      </w:r>
    </w:p>
    <w:p w:rsidR="00004CA9" w:rsidRPr="001A5B94" w:rsidRDefault="00004CA9" w:rsidP="00004CA9">
      <w:pPr>
        <w:pStyle w:val="Odlomakpopisa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Projekt P</w:t>
      </w:r>
      <w:r w:rsidR="00A62724" w:rsidRPr="001A5B94">
        <w:rPr>
          <w:rFonts w:ascii="Times New Roman" w:hAnsi="Times New Roman" w:cs="Times New Roman"/>
          <w:i/>
          <w:sz w:val="24"/>
          <w:szCs w:val="24"/>
        </w:rPr>
        <w:t xml:space="preserve">ANDORA </w:t>
      </w:r>
      <w:r w:rsidR="006B3F90" w:rsidRPr="001A5B94">
        <w:rPr>
          <w:rFonts w:ascii="Times New Roman" w:hAnsi="Times New Roman" w:cs="Times New Roman"/>
          <w:i/>
          <w:sz w:val="24"/>
          <w:szCs w:val="24"/>
        </w:rPr>
        <w:t>- Promicanje izvrsnosti vještina za tržište rada kroz institucionalizaciju stručne prakse u pomorskom obrazovanju</w:t>
      </w:r>
    </w:p>
    <w:p w:rsidR="00A62724" w:rsidRDefault="00004CA9" w:rsidP="00964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>Projektom PANDORA</w:t>
      </w:r>
      <w:r w:rsidR="009649E2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započeo je u </w:t>
      </w:r>
      <w:r w:rsidR="002E3DD1">
        <w:rPr>
          <w:rFonts w:ascii="Times New Roman" w:hAnsi="Times New Roman" w:cs="Times New Roman"/>
          <w:color w:val="000000" w:themeColor="text1"/>
          <w:sz w:val="24"/>
          <w:szCs w:val="24"/>
        </w:rPr>
        <w:t>ožujku</w:t>
      </w:r>
      <w:r w:rsidR="002E3DD1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2E3D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649E2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a </w:t>
      </w:r>
      <w:r w:rsidR="003F024D">
        <w:rPr>
          <w:rFonts w:ascii="Times New Roman" w:hAnsi="Times New Roman" w:cs="Times New Roman"/>
          <w:color w:val="000000" w:themeColor="text1"/>
          <w:sz w:val="24"/>
          <w:szCs w:val="24"/>
        </w:rPr>
        <w:t>završio u o</w:t>
      </w:r>
      <w:r w:rsidR="00B53F75">
        <w:rPr>
          <w:rFonts w:ascii="Times New Roman" w:hAnsi="Times New Roman" w:cs="Times New Roman"/>
          <w:color w:val="000000" w:themeColor="text1"/>
          <w:sz w:val="24"/>
          <w:szCs w:val="24"/>
        </w:rPr>
        <w:t>žujk</w:t>
      </w:r>
      <w:r w:rsidR="003F024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53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DD1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E3D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649E2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godine. Ukupan budžet projekta </w:t>
      </w:r>
      <w:r w:rsidR="003F024D">
        <w:rPr>
          <w:rFonts w:ascii="Times New Roman" w:hAnsi="Times New Roman" w:cs="Times New Roman"/>
          <w:color w:val="000000" w:themeColor="text1"/>
          <w:sz w:val="24"/>
          <w:szCs w:val="24"/>
        </w:rPr>
        <w:t>iznosio je</w:t>
      </w:r>
      <w:r w:rsidR="009649E2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F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530.738</w:t>
      </w:r>
      <w:r w:rsidR="002E3D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55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</w:t>
      </w:r>
      <w:r w:rsidR="009649E2" w:rsidRPr="001A5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 a  </w:t>
      </w:r>
      <w:r w:rsidR="00C16900" w:rsidRPr="001A5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9649E2" w:rsidRPr="001A5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</w:t>
      </w:r>
      <w:r w:rsidR="00504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realizirani su troškovi u iznosu</w:t>
      </w:r>
      <w:r w:rsidR="009649E2" w:rsidRPr="001A5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55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94.962</w:t>
      </w:r>
      <w:r w:rsidR="009649E2" w:rsidRPr="001A5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5F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</w:t>
      </w:r>
      <w:r w:rsidR="008A55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649E2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Projektom se izgradi</w:t>
      </w:r>
      <w:r w:rsidR="008A55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institucionalni kapacitet učilišta za provedbu stručne prakse, </w:t>
      </w:r>
      <w:r w:rsidR="008A55E5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>unaprijedi</w:t>
      </w:r>
      <w:r w:rsidR="008A55E5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3F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se</w:t>
      </w:r>
      <w:r w:rsidR="008A55E5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modeli</w:t>
      </w:r>
      <w:r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učenja kroz rad i stjecanj</w:t>
      </w:r>
      <w:r w:rsidR="008A55E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praktičnih vještina studenata u cilju zapošljavanja i spremnosti na obavljanje poslova najviše složenosti na hrvatskom i svjetskom pomorskom tržištu te unaprijedi</w:t>
      </w:r>
      <w:r w:rsidR="008A55E5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nastavna i nenastavna djelatnost u viskom obrazovanju u širem kontekstu kako bi se dugoročno osiguralo kvalitetno, učinkovito i inovativno visoko obrazovanje</w:t>
      </w:r>
      <w:r w:rsidR="00A62724" w:rsidRPr="001A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67167" w:rsidRPr="001A5B94" w:rsidRDefault="00067167" w:rsidP="00964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etkatablice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762"/>
        <w:gridCol w:w="567"/>
        <w:gridCol w:w="1418"/>
        <w:gridCol w:w="1417"/>
        <w:gridCol w:w="1559"/>
      </w:tblGrid>
      <w:tr w:rsidR="0032667E" w:rsidRPr="001A5B94" w:rsidTr="00067167">
        <w:tc>
          <w:tcPr>
            <w:tcW w:w="1344" w:type="dxa"/>
            <w:shd w:val="clear" w:color="auto" w:fill="D0CECE" w:themeFill="background2" w:themeFillShade="E6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2762" w:type="dxa"/>
            <w:shd w:val="clear" w:color="auto" w:fill="D0CECE" w:themeFill="background2" w:themeFillShade="E6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rijednost za 2023.</w:t>
            </w:r>
          </w:p>
        </w:tc>
      </w:tr>
      <w:tr w:rsidR="0032667E" w:rsidRPr="001A5B94" w:rsidTr="00067167">
        <w:tc>
          <w:tcPr>
            <w:tcW w:w="1344" w:type="dxa"/>
            <w:shd w:val="clear" w:color="auto" w:fill="auto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667E" w:rsidRPr="001A5B94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667E" w:rsidRPr="001A5B94" w:rsidTr="00067167">
        <w:tc>
          <w:tcPr>
            <w:tcW w:w="1344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Broj kupljenih programskih podrški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Jedan od ciljeva projekta PANDORA (ESF)  je Unaprjeđenje nastavne djelatnosti u visokom obrazovanju – što uključuje nabavu opreme i </w:t>
            </w: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programske podrške  (2021-2023) *Nabava programska podrška za simuliranje poslovnih procesa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Izvješće o provedbi projekta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2667E" w:rsidRPr="001A5B94" w:rsidTr="00067167">
        <w:tc>
          <w:tcPr>
            <w:tcW w:w="1344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nabavljene opreme i programske podrške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Jedan od ciljeva projekta PANDORA (ESF)  je Unaprjeđenje nastavne djelatnosti u visokom obrazovanju – što uključuje nabavu opreme i programske podrške  (2021-2023) – VR brodske strojarnice – 4 faze razvoja: Izrada VR360 virtualne šetnje broda (VR simulator brodske strojarnice), Izrada 3D modela strojarnice broda, Izrada interaktivnog VR (</w:t>
            </w:r>
            <w:proofErr w:type="spellStart"/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Virtual</w:t>
            </w:r>
            <w:proofErr w:type="spellEnd"/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Reality) 3D modela i simulatora strojarnice broda, Opremanje 3D VR simulatora strojarnice broda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Kom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Izvješće o provedbi projekta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67E" w:rsidRPr="002E3DD1" w:rsidRDefault="0032667E" w:rsidP="003332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667E" w:rsidRPr="001A5B94" w:rsidTr="00067167">
        <w:tc>
          <w:tcPr>
            <w:tcW w:w="1344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Broj sudionika s tercijarnim obrazovanjem (ISCED od 5 do 8)</w:t>
            </w:r>
          </w:p>
        </w:tc>
        <w:tc>
          <w:tcPr>
            <w:tcW w:w="2762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Broj zaposlenih na projektu i sudionika u aktivnostima jačanja kompetencija pohađanjem edukacija za nastavnike i mentorstvo</w:t>
            </w:r>
          </w:p>
        </w:tc>
        <w:tc>
          <w:tcPr>
            <w:tcW w:w="567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Broj sudionika</w:t>
            </w:r>
          </w:p>
        </w:tc>
        <w:tc>
          <w:tcPr>
            <w:tcW w:w="1418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Izvješće o provedbi projekta</w:t>
            </w:r>
          </w:p>
        </w:tc>
        <w:tc>
          <w:tcPr>
            <w:tcW w:w="1559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32667E" w:rsidRPr="001A5B94" w:rsidTr="00067167">
        <w:tc>
          <w:tcPr>
            <w:tcW w:w="1344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Broj osnovanih studentskih službi namijenjenih pružanju podrške studentima</w:t>
            </w:r>
          </w:p>
        </w:tc>
        <w:tc>
          <w:tcPr>
            <w:tcW w:w="2762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Provedbom projekta unaprijedit će se rad Centra za razvoj karijera kao studentske službe koja pruža potporu studentima ustanove prijavitelja</w:t>
            </w:r>
          </w:p>
        </w:tc>
        <w:tc>
          <w:tcPr>
            <w:tcW w:w="567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>Broj</w:t>
            </w:r>
          </w:p>
        </w:tc>
        <w:tc>
          <w:tcPr>
            <w:tcW w:w="1418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Osnovan Centar za razvoj karijera </w:t>
            </w:r>
          </w:p>
        </w:tc>
        <w:tc>
          <w:tcPr>
            <w:tcW w:w="1417" w:type="dxa"/>
            <w:shd w:val="clear" w:color="auto" w:fill="auto"/>
          </w:tcPr>
          <w:p w:rsidR="0032667E" w:rsidRPr="002E3DD1" w:rsidRDefault="0032667E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667E" w:rsidRPr="002E3DD1" w:rsidRDefault="00812941" w:rsidP="00FC0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87303A" w:rsidRPr="001A5B94" w:rsidRDefault="0087303A" w:rsidP="005D6F0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7303A" w:rsidRPr="001A5B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14" w:rsidRDefault="00BF1F14">
      <w:pPr>
        <w:spacing w:after="0" w:line="240" w:lineRule="auto"/>
      </w:pPr>
      <w:r>
        <w:separator/>
      </w:r>
    </w:p>
  </w:endnote>
  <w:endnote w:type="continuationSeparator" w:id="0">
    <w:p w:rsidR="00BF1F14" w:rsidRDefault="00BF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E97DAE" w:rsidRDefault="00E97D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7DAE" w:rsidRDefault="00E97D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14" w:rsidRDefault="00BF1F14">
      <w:pPr>
        <w:spacing w:after="0" w:line="240" w:lineRule="auto"/>
      </w:pPr>
      <w:r>
        <w:separator/>
      </w:r>
    </w:p>
  </w:footnote>
  <w:footnote w:type="continuationSeparator" w:id="0">
    <w:p w:rsidR="00BF1F14" w:rsidRDefault="00BF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32F"/>
    <w:multiLevelType w:val="hybridMultilevel"/>
    <w:tmpl w:val="280A5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5E1A"/>
    <w:multiLevelType w:val="hybridMultilevel"/>
    <w:tmpl w:val="CB8C3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D75"/>
    <w:multiLevelType w:val="hybridMultilevel"/>
    <w:tmpl w:val="8D36F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EC6"/>
    <w:multiLevelType w:val="hybridMultilevel"/>
    <w:tmpl w:val="ECAA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08AF"/>
    <w:multiLevelType w:val="hybridMultilevel"/>
    <w:tmpl w:val="ECAA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C00"/>
    <w:multiLevelType w:val="hybridMultilevel"/>
    <w:tmpl w:val="5694C5EE"/>
    <w:lvl w:ilvl="0" w:tplc="8108B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75B41"/>
    <w:multiLevelType w:val="hybridMultilevel"/>
    <w:tmpl w:val="ECAA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4EBA"/>
    <w:multiLevelType w:val="hybridMultilevel"/>
    <w:tmpl w:val="79D418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3B8B"/>
    <w:multiLevelType w:val="hybridMultilevel"/>
    <w:tmpl w:val="ECAA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C4A71"/>
    <w:multiLevelType w:val="hybridMultilevel"/>
    <w:tmpl w:val="1AF8EE74"/>
    <w:lvl w:ilvl="0" w:tplc="8108B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1713"/>
    <w:multiLevelType w:val="hybridMultilevel"/>
    <w:tmpl w:val="04F8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CAA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15C0"/>
    <w:multiLevelType w:val="hybridMultilevel"/>
    <w:tmpl w:val="731C96A8"/>
    <w:lvl w:ilvl="0" w:tplc="C5BC3B0A">
      <w:start w:val="2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41B7A89"/>
    <w:multiLevelType w:val="hybridMultilevel"/>
    <w:tmpl w:val="7354CC9C"/>
    <w:lvl w:ilvl="0" w:tplc="C5BC3B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1181F"/>
    <w:multiLevelType w:val="hybridMultilevel"/>
    <w:tmpl w:val="1AF8EE74"/>
    <w:lvl w:ilvl="0" w:tplc="8108B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A34C8"/>
    <w:multiLevelType w:val="hybridMultilevel"/>
    <w:tmpl w:val="1E644C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19"/>
  </w:num>
  <w:num w:numId="9">
    <w:abstractNumId w:val="20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21"/>
  </w:num>
  <w:num w:numId="16">
    <w:abstractNumId w:val="16"/>
  </w:num>
  <w:num w:numId="17">
    <w:abstractNumId w:val="22"/>
  </w:num>
  <w:num w:numId="18">
    <w:abstractNumId w:val="6"/>
  </w:num>
  <w:num w:numId="19">
    <w:abstractNumId w:val="8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03DF"/>
    <w:rsid w:val="00004CA9"/>
    <w:rsid w:val="00005E2C"/>
    <w:rsid w:val="00010779"/>
    <w:rsid w:val="00067167"/>
    <w:rsid w:val="000A5FB2"/>
    <w:rsid w:val="000B09E7"/>
    <w:rsid w:val="000B2F61"/>
    <w:rsid w:val="000C0866"/>
    <w:rsid w:val="000C2595"/>
    <w:rsid w:val="000C728F"/>
    <w:rsid w:val="000D265F"/>
    <w:rsid w:val="000D7E33"/>
    <w:rsid w:val="000E687E"/>
    <w:rsid w:val="00106F8F"/>
    <w:rsid w:val="00107352"/>
    <w:rsid w:val="001149CF"/>
    <w:rsid w:val="001232E3"/>
    <w:rsid w:val="001239D5"/>
    <w:rsid w:val="0012757B"/>
    <w:rsid w:val="00143EBB"/>
    <w:rsid w:val="00150706"/>
    <w:rsid w:val="00154E55"/>
    <w:rsid w:val="00196F1A"/>
    <w:rsid w:val="001A5B94"/>
    <w:rsid w:val="001B0F7A"/>
    <w:rsid w:val="001C5253"/>
    <w:rsid w:val="001F0A0A"/>
    <w:rsid w:val="001F49F6"/>
    <w:rsid w:val="0020157E"/>
    <w:rsid w:val="00205FA4"/>
    <w:rsid w:val="0021091C"/>
    <w:rsid w:val="00220BF7"/>
    <w:rsid w:val="00227D81"/>
    <w:rsid w:val="002337C5"/>
    <w:rsid w:val="002438F0"/>
    <w:rsid w:val="00247B63"/>
    <w:rsid w:val="002559AA"/>
    <w:rsid w:val="0025736E"/>
    <w:rsid w:val="00257E49"/>
    <w:rsid w:val="00262073"/>
    <w:rsid w:val="00281F8A"/>
    <w:rsid w:val="002A0785"/>
    <w:rsid w:val="002A14C5"/>
    <w:rsid w:val="002B1794"/>
    <w:rsid w:val="002C7121"/>
    <w:rsid w:val="002D444E"/>
    <w:rsid w:val="002E3DD1"/>
    <w:rsid w:val="002F70E1"/>
    <w:rsid w:val="00316CB9"/>
    <w:rsid w:val="003239CD"/>
    <w:rsid w:val="00324025"/>
    <w:rsid w:val="0032667E"/>
    <w:rsid w:val="00333241"/>
    <w:rsid w:val="00347DEB"/>
    <w:rsid w:val="00364101"/>
    <w:rsid w:val="00390036"/>
    <w:rsid w:val="003943EC"/>
    <w:rsid w:val="00394775"/>
    <w:rsid w:val="00395B9A"/>
    <w:rsid w:val="003B2CF0"/>
    <w:rsid w:val="003C3F23"/>
    <w:rsid w:val="003D590B"/>
    <w:rsid w:val="003F024D"/>
    <w:rsid w:val="003F3CDB"/>
    <w:rsid w:val="003F704E"/>
    <w:rsid w:val="003F7A62"/>
    <w:rsid w:val="0041323D"/>
    <w:rsid w:val="00415937"/>
    <w:rsid w:val="0043076F"/>
    <w:rsid w:val="0043417F"/>
    <w:rsid w:val="004353B1"/>
    <w:rsid w:val="004A4E73"/>
    <w:rsid w:val="004C3A59"/>
    <w:rsid w:val="004D031A"/>
    <w:rsid w:val="004D2F71"/>
    <w:rsid w:val="004E02C5"/>
    <w:rsid w:val="004F1024"/>
    <w:rsid w:val="004F26E9"/>
    <w:rsid w:val="00504B74"/>
    <w:rsid w:val="00516BD2"/>
    <w:rsid w:val="005344E8"/>
    <w:rsid w:val="00544576"/>
    <w:rsid w:val="005615F2"/>
    <w:rsid w:val="00585281"/>
    <w:rsid w:val="00585304"/>
    <w:rsid w:val="005A5310"/>
    <w:rsid w:val="005B6AFA"/>
    <w:rsid w:val="005C471A"/>
    <w:rsid w:val="005D6F04"/>
    <w:rsid w:val="005F2EAE"/>
    <w:rsid w:val="00632874"/>
    <w:rsid w:val="00635D2E"/>
    <w:rsid w:val="006416F9"/>
    <w:rsid w:val="00643E9B"/>
    <w:rsid w:val="00651EF8"/>
    <w:rsid w:val="0066296C"/>
    <w:rsid w:val="00666AC9"/>
    <w:rsid w:val="0066781D"/>
    <w:rsid w:val="006B3F90"/>
    <w:rsid w:val="006D02E2"/>
    <w:rsid w:val="00703212"/>
    <w:rsid w:val="007105A9"/>
    <w:rsid w:val="00731B62"/>
    <w:rsid w:val="0077599B"/>
    <w:rsid w:val="00784427"/>
    <w:rsid w:val="007D53BD"/>
    <w:rsid w:val="007D6DA5"/>
    <w:rsid w:val="007E668F"/>
    <w:rsid w:val="007E6D3D"/>
    <w:rsid w:val="008018C6"/>
    <w:rsid w:val="00806C5E"/>
    <w:rsid w:val="00811DD1"/>
    <w:rsid w:val="00812941"/>
    <w:rsid w:val="008223B8"/>
    <w:rsid w:val="0084143A"/>
    <w:rsid w:val="008448FC"/>
    <w:rsid w:val="00845599"/>
    <w:rsid w:val="00846E65"/>
    <w:rsid w:val="00863153"/>
    <w:rsid w:val="008717CE"/>
    <w:rsid w:val="0087303A"/>
    <w:rsid w:val="008750BD"/>
    <w:rsid w:val="008817B0"/>
    <w:rsid w:val="008876CE"/>
    <w:rsid w:val="00892643"/>
    <w:rsid w:val="008A55E5"/>
    <w:rsid w:val="00924A50"/>
    <w:rsid w:val="00935B57"/>
    <w:rsid w:val="0094410C"/>
    <w:rsid w:val="00955A7B"/>
    <w:rsid w:val="009649E2"/>
    <w:rsid w:val="0096781F"/>
    <w:rsid w:val="00975E78"/>
    <w:rsid w:val="00977582"/>
    <w:rsid w:val="009A03EC"/>
    <w:rsid w:val="009A65A8"/>
    <w:rsid w:val="009E2203"/>
    <w:rsid w:val="009E7A37"/>
    <w:rsid w:val="00A128EB"/>
    <w:rsid w:val="00A132E9"/>
    <w:rsid w:val="00A325CB"/>
    <w:rsid w:val="00A62724"/>
    <w:rsid w:val="00A637E6"/>
    <w:rsid w:val="00A827DC"/>
    <w:rsid w:val="00A91695"/>
    <w:rsid w:val="00A96F68"/>
    <w:rsid w:val="00AB0246"/>
    <w:rsid w:val="00AD3750"/>
    <w:rsid w:val="00AE035C"/>
    <w:rsid w:val="00AF461D"/>
    <w:rsid w:val="00B06FA1"/>
    <w:rsid w:val="00B165A1"/>
    <w:rsid w:val="00B30B87"/>
    <w:rsid w:val="00B37A8E"/>
    <w:rsid w:val="00B43FA5"/>
    <w:rsid w:val="00B4760A"/>
    <w:rsid w:val="00B53F75"/>
    <w:rsid w:val="00B64FBB"/>
    <w:rsid w:val="00B7598C"/>
    <w:rsid w:val="00B75E21"/>
    <w:rsid w:val="00B77648"/>
    <w:rsid w:val="00BA46EC"/>
    <w:rsid w:val="00BB0AC9"/>
    <w:rsid w:val="00BB47B9"/>
    <w:rsid w:val="00BB6AE9"/>
    <w:rsid w:val="00BB72A2"/>
    <w:rsid w:val="00BC433E"/>
    <w:rsid w:val="00BD7FDD"/>
    <w:rsid w:val="00BE741E"/>
    <w:rsid w:val="00BF1F14"/>
    <w:rsid w:val="00C03552"/>
    <w:rsid w:val="00C10719"/>
    <w:rsid w:val="00C16900"/>
    <w:rsid w:val="00C45954"/>
    <w:rsid w:val="00C84559"/>
    <w:rsid w:val="00C878F3"/>
    <w:rsid w:val="00C97E87"/>
    <w:rsid w:val="00CA3D88"/>
    <w:rsid w:val="00CA4394"/>
    <w:rsid w:val="00CA4A20"/>
    <w:rsid w:val="00CB0C87"/>
    <w:rsid w:val="00CB39A7"/>
    <w:rsid w:val="00CB764D"/>
    <w:rsid w:val="00CC3933"/>
    <w:rsid w:val="00CD6F16"/>
    <w:rsid w:val="00CE5CC3"/>
    <w:rsid w:val="00CF3A75"/>
    <w:rsid w:val="00D269E5"/>
    <w:rsid w:val="00D649BB"/>
    <w:rsid w:val="00D7733C"/>
    <w:rsid w:val="00D85134"/>
    <w:rsid w:val="00DA7AFE"/>
    <w:rsid w:val="00DB4A88"/>
    <w:rsid w:val="00DD319D"/>
    <w:rsid w:val="00DE2189"/>
    <w:rsid w:val="00E03F40"/>
    <w:rsid w:val="00E7493D"/>
    <w:rsid w:val="00E927E4"/>
    <w:rsid w:val="00E97DAE"/>
    <w:rsid w:val="00EA63B0"/>
    <w:rsid w:val="00EB360C"/>
    <w:rsid w:val="00EB5290"/>
    <w:rsid w:val="00ED476D"/>
    <w:rsid w:val="00EF05CF"/>
    <w:rsid w:val="00F12286"/>
    <w:rsid w:val="00F13465"/>
    <w:rsid w:val="00F138F6"/>
    <w:rsid w:val="00F31549"/>
    <w:rsid w:val="00F55A66"/>
    <w:rsid w:val="00F56DF7"/>
    <w:rsid w:val="00F6634B"/>
    <w:rsid w:val="00F815A6"/>
    <w:rsid w:val="00F9754E"/>
    <w:rsid w:val="00FA2CFF"/>
    <w:rsid w:val="00FC0912"/>
    <w:rsid w:val="00FC14A7"/>
    <w:rsid w:val="00FC2CC9"/>
    <w:rsid w:val="00FC428C"/>
    <w:rsid w:val="00FC7CA7"/>
    <w:rsid w:val="00FE153A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83BA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36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5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F05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2F6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8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6CE"/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6416F9"/>
  </w:style>
  <w:style w:type="character" w:styleId="SlijeenaHiperveza">
    <w:name w:val="FollowedHyperlink"/>
    <w:basedOn w:val="Zadanifontodlomka"/>
    <w:uiPriority w:val="99"/>
    <w:semiHidden/>
    <w:unhideWhenUsed/>
    <w:rsid w:val="005B6AF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DD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651E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uj2y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FCB3-4CEE-4C85-93ED-B013B51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Vladimirka Telenta</cp:lastModifiedBy>
  <cp:revision>17</cp:revision>
  <cp:lastPrinted>2021-09-22T10:17:00Z</cp:lastPrinted>
  <dcterms:created xsi:type="dcterms:W3CDTF">2023-12-06T07:31:00Z</dcterms:created>
  <dcterms:modified xsi:type="dcterms:W3CDTF">2024-02-09T12:21:00Z</dcterms:modified>
</cp:coreProperties>
</file>